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移动查房推车</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w:t>
      </w:r>
      <w:r>
        <w:rPr>
          <w:rFonts w:hint="eastAsia" w:ascii="仿宋" w:hAnsi="仿宋" w:eastAsia="仿宋" w:cstheme="minorEastAsia"/>
          <w:color w:val="000000" w:themeColor="text1"/>
          <w:sz w:val="28"/>
          <w:szCs w:val="28"/>
          <w14:textFill>
            <w14:solidFill>
              <w14:schemeClr w14:val="tx1"/>
            </w14:solidFill>
          </w14:textFill>
        </w:rPr>
        <w:t>医学中心开展</w:t>
      </w:r>
      <w:r>
        <w:rPr>
          <w:rFonts w:hint="eastAsia" w:ascii="仿宋" w:hAnsi="仿宋" w:eastAsia="仿宋" w:cstheme="minorEastAsia"/>
          <w:color w:val="000000" w:themeColor="text1"/>
          <w:sz w:val="28"/>
          <w:szCs w:val="28"/>
          <w:lang w:val="en-US" w:eastAsia="zh-CN"/>
          <w14:textFill>
            <w14:solidFill>
              <w14:schemeClr w14:val="tx1"/>
            </w14:solidFill>
          </w14:textFill>
        </w:rPr>
        <w:t>临床</w:t>
      </w:r>
      <w:r>
        <w:rPr>
          <w:rFonts w:hint="eastAsia" w:ascii="仿宋" w:hAnsi="仿宋" w:eastAsia="仿宋" w:cstheme="minorEastAsia"/>
          <w:color w:val="000000" w:themeColor="text1"/>
          <w:sz w:val="28"/>
          <w:szCs w:val="28"/>
          <w14:textFill>
            <w14:solidFill>
              <w14:schemeClr w14:val="tx1"/>
            </w14:solidFill>
          </w14:textFill>
        </w:rPr>
        <w:t>业务需求，需要采购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2台移动查房推车</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5</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5</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4万元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1"/>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2487"/>
        <w:gridCol w:w="1864"/>
        <w:gridCol w:w="1864"/>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1239"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序号</w:t>
            </w:r>
          </w:p>
        </w:tc>
        <w:tc>
          <w:tcPr>
            <w:tcW w:w="2487"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设备名称</w:t>
            </w:r>
          </w:p>
        </w:tc>
        <w:tc>
          <w:tcPr>
            <w:tcW w:w="1864" w:type="dxa"/>
          </w:tcPr>
          <w:p>
            <w:pPr>
              <w:jc w:val="center"/>
              <w:rPr>
                <w:rFonts w:hint="eastAsia" w:ascii="仿宋" w:hAnsi="仿宋"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采购预算/限高价（总价）</w:t>
            </w:r>
          </w:p>
        </w:tc>
        <w:tc>
          <w:tcPr>
            <w:tcW w:w="1864" w:type="dxa"/>
          </w:tcPr>
          <w:p>
            <w:pPr>
              <w:jc w:val="cente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数量（单位）</w:t>
            </w:r>
          </w:p>
        </w:tc>
        <w:tc>
          <w:tcPr>
            <w:tcW w:w="1864"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是否需要医疗器械经营许可证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9"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w:t>
            </w:r>
          </w:p>
        </w:tc>
        <w:tc>
          <w:tcPr>
            <w:tcW w:w="2487" w:type="dxa"/>
            <w:vAlign w:val="top"/>
          </w:tcPr>
          <w:p>
            <w:pPr>
              <w:jc w:val="center"/>
              <w:rPr>
                <w:rFonts w:hint="default" w:ascii="仿宋" w:hAnsi="仿宋" w:eastAsia="仿宋" w:cstheme="minorEastAsia"/>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vertAlign w:val="baseline"/>
                <w:lang w:val="en-US" w:eastAsia="zh-CN" w:bidi="ar-SA"/>
                <w14:textFill>
                  <w14:solidFill>
                    <w14:schemeClr w14:val="tx1"/>
                  </w14:solidFill>
                </w14:textFill>
              </w:rPr>
              <w:t>移动查房推车</w:t>
            </w:r>
          </w:p>
        </w:tc>
        <w:tc>
          <w:tcPr>
            <w:tcW w:w="1864"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4万元</w:t>
            </w:r>
          </w:p>
        </w:tc>
        <w:tc>
          <w:tcPr>
            <w:tcW w:w="1864"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2台</w:t>
            </w:r>
          </w:p>
        </w:tc>
        <w:tc>
          <w:tcPr>
            <w:tcW w:w="1864"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否</w:t>
            </w:r>
          </w:p>
        </w:tc>
      </w:tr>
    </w:tbl>
    <w:p>
      <w:pPr>
        <w:ind w:left="420" w:firstLine="140"/>
        <w:jc w:val="left"/>
        <w:rPr>
          <w:rFonts w:ascii="仿宋" w:hAnsi="仿宋" w:eastAsia="仿宋" w:cstheme="minorEastAsia"/>
          <w:color w:val="000000" w:themeColor="text1"/>
          <w:sz w:val="28"/>
          <w:szCs w:val="28"/>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4"/>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4"/>
        <w:rPr>
          <w:rFonts w:ascii="仿宋" w:hAnsi="仿宋" w:eastAsia="仿宋" w:cstheme="minorEastAsia"/>
          <w:color w:val="000000" w:themeColor="text1"/>
          <w:sz w:val="28"/>
          <w:szCs w:val="28"/>
          <w14:textFill>
            <w14:solidFill>
              <w14:schemeClr w14:val="tx1"/>
            </w14:solidFill>
          </w14:textFill>
        </w:rPr>
      </w:pPr>
    </w:p>
    <w:p>
      <w:pPr>
        <w:pStyle w:val="9"/>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9"/>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8"/>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w:t>
      </w:r>
      <w:r>
        <w:rPr>
          <w:rFonts w:hint="eastAsia" w:ascii="仿宋" w:hAnsi="仿宋" w:eastAsia="仿宋"/>
          <w:color w:val="000000"/>
          <w:sz w:val="28"/>
          <w:szCs w:val="27"/>
          <w:lang w:val="en-US" w:eastAsia="zh-CN"/>
        </w:rPr>
        <w:t>21</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3</w:t>
      </w:r>
      <w:r>
        <w:rPr>
          <w:rFonts w:hint="eastAsia" w:ascii="仿宋" w:hAnsi="仿宋" w:eastAsia="仿宋"/>
          <w:color w:val="000000"/>
          <w:sz w:val="28"/>
          <w:szCs w:val="27"/>
        </w:rPr>
        <w:t>年度（任意一年）经审计的财务报告复印件（包含审计报告和审计报告中所涉及的财务报表和报表附注）；②也可提供20</w:t>
      </w:r>
      <w:r>
        <w:rPr>
          <w:rFonts w:hint="eastAsia" w:ascii="仿宋" w:hAnsi="仿宋" w:eastAsia="仿宋"/>
          <w:color w:val="000000"/>
          <w:sz w:val="28"/>
          <w:szCs w:val="27"/>
          <w:lang w:val="en-US" w:eastAsia="zh-CN"/>
        </w:rPr>
        <w:t>21</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3</w:t>
      </w:r>
      <w:r>
        <w:rPr>
          <w:rFonts w:hint="eastAsia" w:ascii="仿宋" w:hAnsi="仿宋" w:eastAsia="仿宋"/>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8"/>
        <w:ind w:firstLine="562" w:firstLineChars="200"/>
        <w:rPr>
          <w:rFonts w:ascii="仿宋" w:hAnsi="仿宋" w:eastAsia="仿宋"/>
          <w:b/>
          <w:color w:val="000000"/>
          <w:sz w:val="28"/>
          <w:szCs w:val="27"/>
          <w:highlight w:val="none"/>
        </w:rPr>
      </w:pPr>
      <w:r>
        <w:rPr>
          <w:rFonts w:hint="eastAsia" w:ascii="仿宋" w:hAnsi="仿宋" w:eastAsia="仿宋"/>
          <w:b/>
          <w:color w:val="000000"/>
          <w:sz w:val="28"/>
          <w:szCs w:val="27"/>
          <w:highlight w:val="none"/>
        </w:rPr>
        <w:t>5.</w:t>
      </w:r>
      <w:r>
        <w:rPr>
          <w:rFonts w:ascii="仿宋" w:hAnsi="仿宋" w:eastAsia="仿宋"/>
          <w:b/>
          <w:color w:val="000000"/>
          <w:sz w:val="28"/>
          <w:szCs w:val="27"/>
          <w:highlight w:val="none"/>
        </w:rPr>
        <w:t>2</w:t>
      </w:r>
      <w:r>
        <w:rPr>
          <w:rFonts w:hint="eastAsia" w:ascii="仿宋" w:hAnsi="仿宋" w:eastAsia="仿宋"/>
          <w:b/>
          <w:color w:val="000000"/>
          <w:sz w:val="28"/>
          <w:szCs w:val="27"/>
          <w:highlight w:val="none"/>
        </w:rPr>
        <w:t>技术参数</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tbl>
      <w:tblPr>
        <w:tblStyle w:val="10"/>
        <w:tblW w:w="92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1"/>
        <w:gridCol w:w="1532"/>
        <w:gridCol w:w="68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21"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532"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子项</w:t>
            </w:r>
          </w:p>
        </w:tc>
        <w:tc>
          <w:tcPr>
            <w:tcW w:w="6866" w:type="dxa"/>
            <w:tcBorders>
              <w:top w:val="double" w:color="auto" w:sz="4" w:space="0"/>
              <w:left w:val="single" w:color="auto" w:sz="6" w:space="0"/>
              <w:bottom w:val="single" w:color="auto" w:sz="6" w:space="0"/>
              <w:right w:val="double" w:color="auto" w:sz="4" w:space="0"/>
            </w:tcBorders>
            <w:vAlign w:val="center"/>
          </w:tcPr>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b/>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Cs/>
                <w:sz w:val="28"/>
                <w:szCs w:val="28"/>
              </w:rPr>
              <w:t>整车材质</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整车采用航空级铝合金材料，耐受酒精、洗必泰、施康等医院常用消毒剂擦拭消毒；</w:t>
            </w:r>
            <w:r>
              <w:rPr>
                <w:rFonts w:hint="eastAsia" w:ascii="仿宋" w:hAnsi="仿宋" w:eastAsia="仿宋" w:cs="仿宋"/>
                <w:sz w:val="28"/>
                <w:szCs w:val="28"/>
                <w:highlight w:val="none"/>
              </w:rPr>
              <w:t xml:space="preserve">抗菌率99.9%，抗菌耐腐蚀,持久耐用；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sz w:val="28"/>
                <w:szCs w:val="28"/>
              </w:rPr>
              <w:t>台面尺寸</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实际操作台面（不含把手和键盘托）尺寸为≥400mm*400mm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7"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台面设计</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采用航空级铝合金压铸一体成型设计台面，</w:t>
            </w:r>
            <w:r>
              <w:rPr>
                <w:rFonts w:hint="eastAsia" w:ascii="仿宋" w:hAnsi="仿宋" w:eastAsia="仿宋" w:cs="仿宋"/>
                <w:sz w:val="28"/>
                <w:szCs w:val="28"/>
                <w:lang w:val="en-US" w:eastAsia="zh-CN"/>
              </w:rPr>
              <w:t>具有较强的承重抗压性</w:t>
            </w:r>
            <w:r>
              <w:rPr>
                <w:rFonts w:hint="eastAsia" w:ascii="仿宋" w:hAnsi="仿宋" w:eastAsia="仿宋" w:cs="仿宋"/>
                <w:sz w:val="28"/>
                <w:szCs w:val="28"/>
              </w:rPr>
              <w:t>，表面UV固化处理, 耐受医院常用消毒剂，耐清洗，耐刮擦，抗紫外线；圆弧形设计，</w:t>
            </w:r>
            <w:r>
              <w:rPr>
                <w:rFonts w:hint="eastAsia" w:ascii="仿宋" w:hAnsi="仿宋" w:eastAsia="仿宋" w:cs="仿宋"/>
                <w:sz w:val="28"/>
                <w:szCs w:val="28"/>
                <w:lang w:val="en-US" w:eastAsia="zh-CN"/>
              </w:rPr>
              <w:t>便于</w:t>
            </w:r>
            <w:r>
              <w:rPr>
                <w:rFonts w:hint="eastAsia" w:ascii="仿宋" w:hAnsi="仿宋" w:eastAsia="仿宋" w:cs="仿宋"/>
                <w:sz w:val="28"/>
                <w:szCs w:val="28"/>
              </w:rPr>
              <w:t>清洁；显示器支架后移或侧移，不占用台面空间，保障台面使用空间利用率；（提供台面铝合金压铸一体成型的整机和局部细节实物照片证明）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防滑挡条</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工作台面具有与台面完全压铸一体成型的铝合金防滑挡条，高度≥25mm；挡条与台面无缝一体成型</w:t>
            </w:r>
            <w:r>
              <w:rPr>
                <w:rFonts w:hint="eastAsia" w:ascii="仿宋" w:hAnsi="仿宋" w:eastAsia="仿宋" w:cs="仿宋"/>
                <w:sz w:val="28"/>
                <w:szCs w:val="28"/>
                <w:lang w:val="en-US" w:eastAsia="zh-CN"/>
              </w:rPr>
              <w:t>可</w:t>
            </w:r>
            <w:r>
              <w:rPr>
                <w:rFonts w:hint="eastAsia" w:ascii="仿宋" w:hAnsi="仿宋" w:eastAsia="仿宋" w:cs="仿宋"/>
                <w:sz w:val="28"/>
                <w:szCs w:val="28"/>
              </w:rPr>
              <w:t>，防止物品滑落和漏液侵蚀车体; （提供与台面压铸一体成型的铝合防滑挡条真机实物照片证明）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台面把手</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工作台面具有与台面完全压铸一体成型的全铝合金把手，把手与台面之间无螺丝固定，颜色材质一致，坚固耐用；把手为圆弧形闭环设计，方便操作推动；（提供与台面压铸一体成型的铝合金把手真机实物照片）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键盘托</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配置与台面把手一体成型的全铝合金键盘托，键盘托向上倾斜≥10°，符合人体工程学设计，操作使用舒适；（提供与台面把手一体成型的铝合金键盘托向上倾斜的真机实物照片证明）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7"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键盘照明灯</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台面下方内嵌LED键盘照明灯，支持在光线较弱情况下人体自动感应照明，方便医护人员在黑暗环境下操作使用；（提供真机实物操作演示照片证明）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鼠标托盘</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配置旋转式鼠标托盘，尺寸≥130mm*120mm；支持在键盘托左右侧灵活选配，满足不同人群使用习惯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支持旋转收缩在键盘内侧；</w:t>
            </w:r>
            <w:r>
              <w:rPr>
                <w:rFonts w:hint="eastAsia" w:ascii="仿宋" w:hAnsi="仿宋" w:eastAsia="仿宋" w:cs="仿宋"/>
                <w:sz w:val="28"/>
                <w:szCs w:val="28"/>
              </w:rPr>
              <w:t>（提供鼠标托盘隐藏和转出键盘托的真机实物照片证明）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升降立柱</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采用航空级铝合金材质升降立柱，</w:t>
            </w:r>
            <w:r>
              <w:rPr>
                <w:rFonts w:hint="eastAsia" w:ascii="仿宋" w:hAnsi="仿宋" w:eastAsia="仿宋" w:cs="仿宋"/>
                <w:sz w:val="28"/>
                <w:szCs w:val="28"/>
                <w:lang w:val="en-US" w:eastAsia="zh-CN"/>
              </w:rPr>
              <w:t>气动升降方式</w:t>
            </w:r>
            <w:r>
              <w:rPr>
                <w:rFonts w:hint="eastAsia" w:ascii="仿宋" w:hAnsi="仿宋" w:eastAsia="仿宋" w:cs="仿宋"/>
                <w:sz w:val="28"/>
                <w:szCs w:val="28"/>
              </w:rPr>
              <w:t>支持≥300mm升降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适用不同身高人群使用，提高适用舒适性；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75"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抽屉设计</w:t>
            </w:r>
          </w:p>
        </w:tc>
        <w:tc>
          <w:tcPr>
            <w:tcW w:w="6866" w:type="dxa"/>
            <w:tcBorders>
              <w:top w:val="single" w:color="auto" w:sz="6" w:space="0"/>
              <w:left w:val="single" w:color="auto" w:sz="6" w:space="0"/>
              <w:bottom w:val="single" w:color="auto" w:sz="6" w:space="0"/>
              <w:right w:val="double" w:color="auto" w:sz="4" w:space="0"/>
            </w:tcBorders>
            <w:vAlign w:val="center"/>
          </w:tcPr>
          <w:p>
            <w:pPr>
              <w:pStyle w:val="4"/>
              <w:snapToGrid w:val="0"/>
              <w:spacing w:line="360" w:lineRule="auto"/>
              <w:rPr>
                <w:rFonts w:hint="eastAsia" w:ascii="仿宋" w:hAnsi="仿宋" w:eastAsia="仿宋" w:cs="仿宋"/>
                <w:sz w:val="28"/>
                <w:szCs w:val="28"/>
              </w:rPr>
            </w:pPr>
            <w:r>
              <w:rPr>
                <w:rFonts w:hint="eastAsia" w:ascii="仿宋" w:hAnsi="仿宋" w:eastAsia="仿宋" w:cs="仿宋"/>
                <w:sz w:val="28"/>
                <w:szCs w:val="28"/>
              </w:rPr>
              <w:t>配置≥2层高分子合成树脂材质抽屉，更加轻便，单层抽屉（含抽屉面板及把手）压铸一体成型，颜色材质一致，无螺丝固定，</w:t>
            </w:r>
            <w:r>
              <w:rPr>
                <w:rFonts w:hint="eastAsia" w:ascii="仿宋" w:hAnsi="仿宋" w:eastAsia="仿宋" w:cs="仿宋"/>
                <w:sz w:val="28"/>
                <w:szCs w:val="28"/>
                <w:lang w:val="en-US" w:eastAsia="zh-CN"/>
              </w:rPr>
              <w:t>便于清洁；</w:t>
            </w:r>
          </w:p>
          <w:p>
            <w:pPr>
              <w:pStyle w:val="4"/>
              <w:snapToGrid w:val="0"/>
              <w:spacing w:line="360" w:lineRule="auto"/>
              <w:rPr>
                <w:rFonts w:hint="eastAsia" w:ascii="仿宋" w:hAnsi="仿宋" w:eastAsia="仿宋" w:cs="仿宋"/>
                <w:sz w:val="28"/>
                <w:szCs w:val="28"/>
              </w:rPr>
            </w:pPr>
            <w:r>
              <w:rPr>
                <w:rFonts w:hint="eastAsia" w:ascii="仿宋" w:hAnsi="仿宋" w:eastAsia="仿宋" w:cs="仿宋"/>
                <w:sz w:val="28"/>
                <w:szCs w:val="28"/>
              </w:rPr>
              <w:t>整个抽屉采用模块化设计，支持徒手快速拆卸更换，便于后期更新维护。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底座</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采用高强度铝合金压铸一体成型，无缝无拼接，表面采用</w:t>
            </w:r>
            <w:r>
              <w:rPr>
                <w:rFonts w:hint="eastAsia" w:ascii="仿宋" w:hAnsi="仿宋" w:eastAsia="仿宋" w:cs="仿宋"/>
                <w:kern w:val="0"/>
                <w:sz w:val="28"/>
                <w:szCs w:val="28"/>
              </w:rPr>
              <w:t>粉体涂料抑菌处理</w:t>
            </w:r>
            <w:r>
              <w:rPr>
                <w:rFonts w:hint="eastAsia" w:ascii="仿宋" w:hAnsi="仿宋" w:eastAsia="仿宋" w:cs="仿宋"/>
                <w:sz w:val="28"/>
                <w:szCs w:val="28"/>
              </w:rPr>
              <w:t xml:space="preserve">，耐碰耐刮耐腐蚀；底座向内弯曲，可有效避免推动时撞脚，方便坐姿使用；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脚轮</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sz w:val="28"/>
                <w:szCs w:val="28"/>
              </w:rPr>
              <w:t>4个双面超静音医用万向脚轮，四轮八面着地更平稳，2个前轮带刹车功能；脚轮具备静音、防静电、防缠绕、灵活等特性，符合医疗安规感染管控；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配件</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配置垃圾桶</w:t>
            </w:r>
            <w:r>
              <w:rPr>
                <w:rFonts w:hint="default" w:ascii="Arial" w:hAnsi="Arial" w:eastAsia="仿宋" w:cs="Arial"/>
                <w:sz w:val="28"/>
                <w:szCs w:val="28"/>
              </w:rPr>
              <w:t>≥</w:t>
            </w:r>
            <w:r>
              <w:rPr>
                <w:rFonts w:hint="eastAsia" w:ascii="仿宋" w:hAnsi="仿宋" w:eastAsia="仿宋" w:cs="仿宋"/>
                <w:sz w:val="28"/>
                <w:szCs w:val="28"/>
              </w:rPr>
              <w:t>2，中置物盒</w:t>
            </w:r>
            <w:r>
              <w:rPr>
                <w:rFonts w:hint="default" w:ascii="Arial" w:hAnsi="Arial" w:eastAsia="仿宋" w:cs="Arial"/>
                <w:sz w:val="28"/>
                <w:szCs w:val="28"/>
              </w:rPr>
              <w:t>≥</w:t>
            </w:r>
            <w:r>
              <w:rPr>
                <w:rFonts w:hint="eastAsia" w:ascii="仿宋" w:hAnsi="仿宋" w:eastAsia="仿宋" w:cs="仿宋"/>
                <w:sz w:val="28"/>
                <w:szCs w:val="28"/>
              </w:rPr>
              <w:t>1，配件采用模块化设计，方便维护更换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显示器固定支架</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显示器固定支架支持单独≥150mm升降；支持俯角≥15°，仰角≥30°调节；支持横竖屏转换，便于床旁阅片；显示器线缆完全隐藏于显示器固定支架内，无外漏。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显示模块</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尺寸≥23.8”，最佳分辨率≥1920x1080，内置双扬声器。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节能模块</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车体配置人体感应识别智能节能模块，高效节能，提升推车续航时间。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3"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主机</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CPU：I5 8代及以上</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内存：≥16GB 内存</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固态硬盘：容量≥512GB</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操作系统：支持windows 10专业版及以上</w:t>
            </w:r>
          </w:p>
          <w:p>
            <w:pPr>
              <w:adjustRightInd w:val="0"/>
              <w:snapToGrid w:val="0"/>
              <w:spacing w:line="360" w:lineRule="auto"/>
              <w:rPr>
                <w:rFonts w:hint="eastAsia" w:ascii="仿宋" w:hAnsi="仿宋" w:eastAsia="仿宋" w:cs="仿宋"/>
                <w:sz w:val="28"/>
                <w:szCs w:val="28"/>
                <w:highlight w:val="cyan"/>
              </w:rPr>
            </w:pPr>
            <w:r>
              <w:rPr>
                <w:rFonts w:hint="eastAsia" w:ascii="仿宋" w:hAnsi="仿宋" w:eastAsia="仿宋" w:cs="仿宋"/>
                <w:sz w:val="28"/>
                <w:szCs w:val="28"/>
              </w:rPr>
              <w:t>Intel系列网卡：支持2.4G/5G Hz Wifi网络，支持802.11 b/g/n/ac以上标准</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5G: 主板支持5G模块与WiFi兼容</w:t>
            </w:r>
          </w:p>
          <w:p>
            <w:pPr>
              <w:pStyle w:val="8"/>
              <w:adjustRightInd w:val="0"/>
              <w:snapToGrid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sz w:val="28"/>
                <w:szCs w:val="28"/>
              </w:rPr>
              <w:t>接口：USB3.0≥2个，USB2.0≥6个；RJ45网口≥1个，HDMI≥1个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Cs/>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硬盘支架</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kern w:val="0"/>
                <w:sz w:val="28"/>
                <w:szCs w:val="28"/>
              </w:rPr>
              <w:t>配置防震设计的硬盘支架，固定防护硬盘，适合医护人员高频移动操作设备，保障数据存储安全稳定；（提供国家相关部门</w:t>
            </w:r>
            <w:r>
              <w:rPr>
                <w:rFonts w:hint="eastAsia" w:ascii="仿宋" w:hAnsi="仿宋" w:eastAsia="仿宋" w:cs="仿宋"/>
                <w:sz w:val="28"/>
                <w:szCs w:val="28"/>
              </w:rPr>
              <w:t>颁发的</w:t>
            </w:r>
            <w:r>
              <w:rPr>
                <w:rFonts w:hint="eastAsia" w:ascii="仿宋" w:hAnsi="仿宋" w:eastAsia="仿宋" w:cs="仿宋"/>
                <w:kern w:val="0"/>
                <w:sz w:val="28"/>
                <w:szCs w:val="28"/>
              </w:rPr>
              <w:t>硬盘支架硬件结构设计的证书，申请人为</w:t>
            </w:r>
            <w:r>
              <w:rPr>
                <w:rFonts w:hint="eastAsia" w:ascii="仿宋" w:hAnsi="仿宋" w:eastAsia="仿宋" w:cs="仿宋"/>
                <w:sz w:val="28"/>
                <w:szCs w:val="28"/>
              </w:rPr>
              <w:t>整车厂商，提供软件著作权或测试报告无效</w:t>
            </w:r>
            <w:r>
              <w:rPr>
                <w:rFonts w:hint="eastAsia" w:ascii="仿宋" w:hAnsi="仿宋" w:eastAsia="仿宋" w:cs="仿宋"/>
                <w:kern w:val="0"/>
                <w:sz w:val="28"/>
                <w:szCs w:val="28"/>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电源线</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采用隐藏式伸缩电源线，固定在车体上，防盗失，充电时拉伸充电，方便不同距离充电，不充电时支持自动收缩隐藏于车体中。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highlight w:val="cyan"/>
              </w:rPr>
            </w:pPr>
            <w:r>
              <w:rPr>
                <w:rFonts w:hint="eastAsia" w:ascii="仿宋" w:hAnsi="仿宋" w:eastAsia="仿宋" w:cs="仿宋"/>
                <w:sz w:val="28"/>
                <w:szCs w:val="28"/>
              </w:rPr>
              <w:t>电池性能</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highlight w:val="cyan"/>
              </w:rPr>
            </w:pPr>
            <w:r>
              <w:rPr>
                <w:rFonts w:hint="eastAsia" w:ascii="仿宋" w:hAnsi="仿宋" w:eastAsia="仿宋" w:cs="仿宋"/>
                <w:sz w:val="28"/>
                <w:szCs w:val="28"/>
              </w:rPr>
              <w:t>支持≥8小时续航时间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视频宣教</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配置节能控制模块，在不接通市电情况下，设备一次充满电后，支持床旁连续播放视频时长≥16小时对患者进行健康宣教。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电路保护</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配置直流马达转动控制模块，防止过压、过流、欠压、过充、过放，保护电路安全；（提供国家有关部门颁发的马达转动控制硬件结构设计的证书，申请人为整车厂商，提供软件著作权或测试报告无效）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38" w:hRule="atLeast"/>
          <w:jc w:val="center"/>
        </w:trPr>
        <w:tc>
          <w:tcPr>
            <w:tcW w:w="821" w:type="dxa"/>
            <w:tcBorders>
              <w:top w:val="single" w:color="auto" w:sz="6" w:space="0"/>
              <w:left w:val="double" w:color="auto" w:sz="4" w:space="0"/>
              <w:bottom w:val="single" w:color="auto" w:sz="6" w:space="0"/>
              <w:right w:val="single" w:color="auto" w:sz="6" w:space="0"/>
            </w:tcBorders>
            <w:vAlign w:val="center"/>
          </w:tcPr>
          <w:p>
            <w:pPr>
              <w:numPr>
                <w:ilvl w:val="0"/>
                <w:numId w:val="3"/>
              </w:numPr>
              <w:adjustRightInd w:val="0"/>
              <w:snapToGrid w:val="0"/>
              <w:spacing w:line="360" w:lineRule="auto"/>
              <w:jc w:val="center"/>
              <w:rPr>
                <w:rFonts w:hint="eastAsia" w:ascii="仿宋" w:hAnsi="仿宋" w:eastAsia="仿宋" w:cs="仿宋"/>
                <w:sz w:val="28"/>
                <w:szCs w:val="28"/>
              </w:rPr>
            </w:pPr>
          </w:p>
        </w:tc>
        <w:tc>
          <w:tcPr>
            <w:tcW w:w="15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医疗电源</w:t>
            </w:r>
          </w:p>
        </w:tc>
        <w:tc>
          <w:tcPr>
            <w:tcW w:w="686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 w:val="28"/>
                <w:szCs w:val="28"/>
              </w:rPr>
            </w:pPr>
            <w:r>
              <w:rPr>
                <w:rFonts w:hint="eastAsia" w:ascii="仿宋" w:hAnsi="仿宋" w:eastAsia="仿宋" w:cs="仿宋"/>
                <w:kern w:val="0"/>
                <w:sz w:val="28"/>
                <w:szCs w:val="28"/>
              </w:rPr>
              <w:t>配置医疗电源控制模板，确保输出电压、电流可调节，提高电源使用效率，避免能源浪费；（提供国家相关部门颁发的医疗电源硬件结构</w:t>
            </w:r>
            <w:r>
              <w:rPr>
                <w:rFonts w:hint="eastAsia" w:ascii="仿宋" w:hAnsi="仿宋" w:eastAsia="仿宋" w:cs="仿宋"/>
                <w:sz w:val="28"/>
                <w:szCs w:val="28"/>
              </w:rPr>
              <w:t>设计的证书，</w:t>
            </w:r>
            <w:r>
              <w:rPr>
                <w:rFonts w:hint="eastAsia" w:ascii="仿宋" w:hAnsi="仿宋" w:eastAsia="仿宋" w:cs="仿宋"/>
                <w:kern w:val="0"/>
                <w:sz w:val="28"/>
                <w:szCs w:val="28"/>
              </w:rPr>
              <w:t>申请人为</w:t>
            </w:r>
            <w:r>
              <w:rPr>
                <w:rFonts w:hint="eastAsia" w:ascii="仿宋" w:hAnsi="仿宋" w:eastAsia="仿宋" w:cs="仿宋"/>
                <w:sz w:val="28"/>
                <w:szCs w:val="28"/>
              </w:rPr>
              <w:t>整车厂商，提供软件著作权或测试报告无效</w:t>
            </w:r>
            <w:r>
              <w:rPr>
                <w:rFonts w:hint="eastAsia" w:ascii="仿宋" w:hAnsi="仿宋" w:eastAsia="仿宋" w:cs="仿宋"/>
                <w:kern w:val="0"/>
                <w:sz w:val="28"/>
                <w:szCs w:val="28"/>
              </w:rPr>
              <w:t>）</w:t>
            </w:r>
          </w:p>
        </w:tc>
      </w:tr>
    </w:tbl>
    <w:p>
      <w:pPr>
        <w:pStyle w:val="4"/>
        <w:spacing w:line="360" w:lineRule="auto"/>
        <w:rPr>
          <w:rFonts w:ascii="仿宋" w:hAnsi="仿宋" w:eastAsia="仿宋" w:cs="宋体"/>
          <w:color w:val="000000"/>
          <w:kern w:val="0"/>
          <w:sz w:val="28"/>
          <w:szCs w:val="27"/>
        </w:rPr>
      </w:pPr>
    </w:p>
    <w:p>
      <w:pPr>
        <w:pStyle w:val="4"/>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4"/>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4"/>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hint="eastAsia" w:ascii="仿宋" w:hAnsi="仿宋" w:eastAsia="仿宋" w:cs="仿宋"/>
          <w:spacing w:val="1"/>
          <w:sz w:val="28"/>
          <w:lang w:val="en-US" w:eastAsia="zh-CN"/>
        </w:rPr>
        <w:t>30</w:t>
      </w:r>
      <w:r>
        <w:rPr>
          <w:rFonts w:hint="eastAsia" w:ascii="仿宋" w:hAnsi="仿宋" w:eastAsia="仿宋" w:cs="仿宋"/>
          <w:spacing w:val="1"/>
          <w:sz w:val="28"/>
        </w:rPr>
        <w:t>个日历日内完成交货。</w:t>
      </w:r>
    </w:p>
    <w:p>
      <w:pPr>
        <w:pStyle w:val="9"/>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4"/>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：合同签订生效后，设备安装完成并验收合格后，甲方收到乙方等额发票后</w:t>
      </w:r>
      <w:r>
        <w:rPr>
          <w:rFonts w:hint="eastAsia" w:ascii="仿宋" w:hAnsi="仿宋" w:eastAsia="仿宋" w:cs="仿宋"/>
          <w:spacing w:val="1"/>
          <w:sz w:val="28"/>
          <w:lang w:val="en-US" w:eastAsia="zh-CN"/>
        </w:rPr>
        <w:t>15</w:t>
      </w:r>
      <w:r>
        <w:rPr>
          <w:rFonts w:hint="eastAsia" w:ascii="仿宋" w:hAnsi="仿宋" w:eastAsia="仿宋" w:cs="仿宋"/>
          <w:spacing w:val="1"/>
          <w:sz w:val="28"/>
        </w:rPr>
        <w:t>个工作日内支付中标金额的</w:t>
      </w:r>
      <w:r>
        <w:rPr>
          <w:rFonts w:hint="eastAsia" w:ascii="仿宋" w:hAnsi="仿宋" w:eastAsia="仿宋" w:cs="仿宋"/>
          <w:spacing w:val="1"/>
          <w:sz w:val="28"/>
          <w:lang w:val="en-US" w:eastAsia="zh-CN"/>
        </w:rPr>
        <w:t>10</w:t>
      </w:r>
      <w:r>
        <w:rPr>
          <w:rFonts w:ascii="仿宋" w:hAnsi="仿宋" w:eastAsia="仿宋" w:cs="仿宋"/>
          <w:spacing w:val="1"/>
          <w:sz w:val="28"/>
        </w:rPr>
        <w:t>0</w:t>
      </w:r>
      <w:r>
        <w:rPr>
          <w:rFonts w:hint="eastAsia" w:ascii="仿宋" w:hAnsi="仿宋" w:eastAsia="仿宋" w:cs="仿宋"/>
          <w:spacing w:val="1"/>
          <w:sz w:val="28"/>
        </w:rPr>
        <w:t>%款项。</w:t>
      </w:r>
    </w:p>
    <w:p>
      <w:pPr>
        <w:pStyle w:val="4"/>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lang w:val="en-US" w:eastAsia="zh-CN"/>
        </w:rPr>
        <w:t>无</w:t>
      </w:r>
      <w:r>
        <w:rPr>
          <w:rFonts w:hint="eastAsia" w:ascii="仿宋" w:hAnsi="仿宋" w:eastAsia="仿宋" w:cs="仿宋"/>
          <w:spacing w:val="1"/>
          <w:sz w:val="28"/>
        </w:rPr>
        <w:t>。</w:t>
      </w:r>
    </w:p>
    <w:p>
      <w:pPr>
        <w:pStyle w:val="9"/>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设备安装调试验收合格之日起，所有产品质量保证期为三年（若国家或生产厂家对本项目所涉及货物的质量保证期的规定高于本项目的要求，应按国家或生产厂家的规定执行。具体由供应商在投标文件中承诺）。</w:t>
      </w:r>
    </w:p>
    <w:p>
      <w:pPr>
        <w:pStyle w:val="4"/>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调试：按国家相关和行业规范进行调试。</w:t>
      </w:r>
    </w:p>
    <w:p>
      <w:pPr>
        <w:pStyle w:val="4"/>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pPr>
        <w:pStyle w:val="4"/>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4"/>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质保期后，应加强设备巡检，供应商应向采购人提供及时的、优质的、价格优惠的技术服务和备品备件供应。</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14"/>
        <w:gridCol w:w="1139"/>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内容</w:t>
            </w:r>
          </w:p>
        </w:tc>
        <w:tc>
          <w:tcPr>
            <w:tcW w:w="714"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分值</w:t>
            </w:r>
          </w:p>
        </w:tc>
        <w:tc>
          <w:tcPr>
            <w:tcW w:w="1139"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评分</w:t>
            </w:r>
          </w:p>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因素</w:t>
            </w:r>
          </w:p>
        </w:tc>
        <w:tc>
          <w:tcPr>
            <w:tcW w:w="6327"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价格</w:t>
            </w:r>
          </w:p>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部分</w:t>
            </w:r>
          </w:p>
        </w:tc>
        <w:tc>
          <w:tcPr>
            <w:tcW w:w="714"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30分</w:t>
            </w:r>
          </w:p>
        </w:tc>
        <w:tc>
          <w:tcPr>
            <w:tcW w:w="1139"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价格</w:t>
            </w:r>
          </w:p>
        </w:tc>
        <w:tc>
          <w:tcPr>
            <w:tcW w:w="6327" w:type="dxa"/>
            <w:vAlign w:val="center"/>
          </w:tcPr>
          <w:p>
            <w:pPr>
              <w:tabs>
                <w:tab w:val="left" w:pos="360"/>
                <w:tab w:val="left" w:pos="840"/>
              </w:tabs>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价格分计算公式如下：</w:t>
            </w:r>
          </w:p>
          <w:p>
            <w:pPr>
              <w:numPr>
                <w:ilvl w:val="0"/>
                <w:numId w:val="4"/>
              </w:numPr>
              <w:tabs>
                <w:tab w:val="left" w:pos="840"/>
              </w:tabs>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采用低价优先法计算，即以通过资格性和符合性审查且投标价格最低的投标报价为评标基准价，其价格分为满分30分。其他投标人的价格分统一按照下列公式计算；</w:t>
            </w:r>
          </w:p>
          <w:p>
            <w:pPr>
              <w:numPr>
                <w:ilvl w:val="0"/>
                <w:numId w:val="4"/>
              </w:numPr>
              <w:tabs>
                <w:tab w:val="left" w:pos="840"/>
              </w:tabs>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投标报价得分=（评标基准价／投标报价）×30；</w:t>
            </w:r>
          </w:p>
          <w:p>
            <w:pPr>
              <w:numPr>
                <w:ilvl w:val="0"/>
                <w:numId w:val="4"/>
              </w:numPr>
              <w:tabs>
                <w:tab w:val="left" w:pos="840"/>
              </w:tabs>
              <w:adjustRightInd w:val="0"/>
              <w:snapToGrid w:val="0"/>
              <w:spacing w:line="360" w:lineRule="auto"/>
              <w:rPr>
                <w:rFonts w:hint="eastAsia" w:ascii="仿宋" w:hAnsi="仿宋" w:eastAsia="仿宋" w:cs="仿宋"/>
                <w:sz w:val="28"/>
                <w:szCs w:val="28"/>
              </w:rPr>
            </w:pPr>
            <w:r>
              <w:rPr>
                <w:rFonts w:hint="eastAsia" w:ascii="仿宋" w:hAnsi="仿宋" w:eastAsia="仿宋" w:cs="仿宋"/>
                <w:kern w:val="0"/>
                <w:sz w:val="28"/>
                <w:szCs w:val="28"/>
                <w:lang w:val="zh-CN"/>
              </w:rPr>
              <w:t>投标总价低于</w:t>
            </w:r>
            <w:r>
              <w:rPr>
                <w:rFonts w:hint="eastAsia" w:ascii="仿宋" w:hAnsi="仿宋" w:eastAsia="仿宋" w:cs="仿宋"/>
                <w:sz w:val="28"/>
                <w:szCs w:val="28"/>
              </w:rPr>
              <w:t>预算</w:t>
            </w:r>
            <w:r>
              <w:rPr>
                <w:rFonts w:hint="eastAsia" w:ascii="仿宋" w:hAnsi="仿宋" w:eastAsia="仿宋" w:cs="仿宋"/>
                <w:kern w:val="0"/>
                <w:sz w:val="28"/>
                <w:szCs w:val="28"/>
                <w:lang w:val="zh-CN"/>
              </w:rPr>
              <w:t>限额的70%或明显低于其他投标人报价，</w:t>
            </w:r>
            <w:r>
              <w:rPr>
                <w:rFonts w:hint="eastAsia" w:ascii="仿宋" w:hAnsi="仿宋" w:eastAsia="仿宋" w:cs="仿宋"/>
                <w:kern w:val="0"/>
                <w:sz w:val="28"/>
                <w:szCs w:val="28"/>
              </w:rPr>
              <w:t>须在评标现场合理的时间内提供书面说明及相关证明材料</w:t>
            </w:r>
            <w:r>
              <w:rPr>
                <w:rFonts w:hint="eastAsia" w:ascii="仿宋" w:hAnsi="仿宋" w:eastAsia="仿宋" w:cs="仿宋"/>
                <w:kern w:val="0"/>
                <w:sz w:val="28"/>
                <w:szCs w:val="28"/>
                <w:lang w:val="zh-CN"/>
              </w:rPr>
              <w:t>，</w:t>
            </w:r>
            <w:r>
              <w:rPr>
                <w:rFonts w:hint="eastAsia" w:ascii="仿宋" w:hAnsi="仿宋" w:eastAsia="仿宋" w:cs="仿宋"/>
                <w:kern w:val="0"/>
                <w:sz w:val="28"/>
                <w:szCs w:val="28"/>
              </w:rPr>
              <w:t>投标人不能证明其报价合理性的，评标委员会应当将其视为无效投标处理。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w:t>
            </w:r>
          </w:p>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部分</w:t>
            </w:r>
          </w:p>
        </w:tc>
        <w:tc>
          <w:tcPr>
            <w:tcW w:w="714"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highlight w:val="none"/>
                <w:lang w:val="en-US" w:eastAsia="zh-CN"/>
              </w:rPr>
              <w:t>55</w:t>
            </w:r>
            <w:r>
              <w:rPr>
                <w:rFonts w:hint="eastAsia" w:ascii="仿宋" w:hAnsi="仿宋" w:eastAsia="仿宋" w:cs="仿宋"/>
                <w:sz w:val="28"/>
                <w:szCs w:val="28"/>
                <w:highlight w:val="none"/>
              </w:rPr>
              <w:t>分</w:t>
            </w:r>
          </w:p>
        </w:tc>
        <w:tc>
          <w:tcPr>
            <w:tcW w:w="1139"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技术参数</w:t>
            </w:r>
          </w:p>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响应情况</w:t>
            </w:r>
          </w:p>
        </w:tc>
        <w:tc>
          <w:tcPr>
            <w:tcW w:w="6327" w:type="dxa"/>
            <w:vAlign w:val="center"/>
          </w:tcPr>
          <w:p>
            <w:pPr>
              <w:pStyle w:val="21"/>
              <w:numPr>
                <w:ilvl w:val="0"/>
                <w:numId w:val="5"/>
              </w:numPr>
              <w:tabs>
                <w:tab w:val="left" w:pos="840"/>
              </w:tabs>
              <w:adjustRightInd w:val="0"/>
              <w:snapToGrid w:val="0"/>
              <w:spacing w:line="360" w:lineRule="auto"/>
              <w:ind w:firstLineChars="0"/>
              <w:rPr>
                <w:rFonts w:hint="eastAsia" w:ascii="仿宋" w:hAnsi="仿宋" w:eastAsia="仿宋" w:cs="仿宋"/>
                <w:sz w:val="28"/>
                <w:szCs w:val="28"/>
              </w:rPr>
            </w:pPr>
            <w:r>
              <w:rPr>
                <w:rFonts w:hint="eastAsia" w:ascii="仿宋" w:hAnsi="仿宋" w:eastAsia="仿宋" w:cs="仿宋"/>
                <w:sz w:val="28"/>
                <w:szCs w:val="28"/>
              </w:rPr>
              <w:t>投标人须按技术参数要求中的编号逐条应答，全部满足各项技术参数指标及要求的得</w:t>
            </w:r>
            <w:r>
              <w:rPr>
                <w:rFonts w:hint="eastAsia" w:ascii="仿宋" w:hAnsi="仿宋" w:eastAsia="仿宋" w:cs="仿宋"/>
                <w:sz w:val="28"/>
                <w:szCs w:val="28"/>
                <w:highlight w:val="none"/>
                <w:lang w:val="en-US" w:eastAsia="zh-CN"/>
              </w:rPr>
              <w:t>55</w:t>
            </w:r>
            <w:r>
              <w:rPr>
                <w:rFonts w:hint="eastAsia" w:ascii="仿宋" w:hAnsi="仿宋" w:eastAsia="仿宋" w:cs="仿宋"/>
                <w:sz w:val="28"/>
                <w:szCs w:val="28"/>
                <w:highlight w:val="none"/>
              </w:rPr>
              <w:t>分</w:t>
            </w:r>
            <w:r>
              <w:rPr>
                <w:rFonts w:hint="eastAsia" w:ascii="仿宋" w:hAnsi="仿宋" w:eastAsia="仿宋" w:cs="仿宋"/>
                <w:sz w:val="28"/>
                <w:szCs w:val="28"/>
              </w:rPr>
              <w:t>；</w:t>
            </w:r>
          </w:p>
          <w:p>
            <w:pPr>
              <w:pStyle w:val="21"/>
              <w:numPr>
                <w:ilvl w:val="0"/>
                <w:numId w:val="5"/>
              </w:numPr>
              <w:tabs>
                <w:tab w:val="left" w:pos="840"/>
              </w:tabs>
              <w:adjustRightInd w:val="0"/>
              <w:snapToGrid w:val="0"/>
              <w:spacing w:line="360" w:lineRule="auto"/>
              <w:ind w:firstLineChars="0"/>
              <w:rPr>
                <w:rFonts w:hint="eastAsia" w:ascii="仿宋" w:hAnsi="仿宋" w:eastAsia="仿宋" w:cs="仿宋"/>
                <w:sz w:val="28"/>
                <w:szCs w:val="28"/>
              </w:rPr>
            </w:pPr>
            <w:r>
              <w:rPr>
                <w:rFonts w:hint="eastAsia" w:ascii="仿宋" w:hAnsi="仿宋" w:eastAsia="仿宋" w:cs="仿宋"/>
                <w:sz w:val="28"/>
                <w:szCs w:val="28"/>
              </w:rPr>
              <w:t>一般参数每负偏离一项扣2分，带“</w:t>
            </w:r>
            <w:r>
              <w:rPr>
                <w:rFonts w:hint="eastAsia" w:ascii="微软雅黑" w:hAnsi="微软雅黑" w:eastAsia="微软雅黑" w:cs="微软雅黑"/>
                <w:sz w:val="28"/>
                <w:szCs w:val="28"/>
              </w:rPr>
              <w:t>★</w:t>
            </w:r>
            <w:r>
              <w:rPr>
                <w:rFonts w:hint="eastAsia" w:ascii="仿宋" w:hAnsi="仿宋" w:eastAsia="仿宋" w:cs="仿宋"/>
                <w:sz w:val="28"/>
                <w:szCs w:val="28"/>
              </w:rPr>
              <w:t>”的为重要参数，每负偏离一项扣</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分，扣完为止； </w:t>
            </w:r>
          </w:p>
          <w:p>
            <w:pPr>
              <w:tabs>
                <w:tab w:val="left" w:pos="840"/>
              </w:tabs>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招标文件要求提供技术证明文件的,投标人必须如实响应并提供符合要求的证明文件，不能提供符合要求的证明文件的视为负偏离，作相应扣分处理。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vAlign w:val="center"/>
          </w:tcPr>
          <w:p>
            <w:pPr>
              <w:tabs>
                <w:tab w:val="left" w:pos="360"/>
                <w:tab w:val="left" w:pos="840"/>
              </w:tabs>
              <w:adjustRightInd w:val="0"/>
              <w:snapToGrid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商务部分</w:t>
            </w:r>
          </w:p>
        </w:tc>
        <w:tc>
          <w:tcPr>
            <w:tcW w:w="714"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6分</w:t>
            </w:r>
          </w:p>
        </w:tc>
        <w:tc>
          <w:tcPr>
            <w:tcW w:w="1139"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售后服务方案</w:t>
            </w:r>
          </w:p>
        </w:tc>
        <w:tc>
          <w:tcPr>
            <w:tcW w:w="6327" w:type="dxa"/>
            <w:vAlign w:val="center"/>
          </w:tcPr>
          <w:p>
            <w:pPr>
              <w:pStyle w:val="21"/>
              <w:tabs>
                <w:tab w:val="left" w:pos="840"/>
              </w:tabs>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评标委员会根据投标人提供的售后服务方案完整性和合理性在0～6分范围之间进行评分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内容至少包括：</w:t>
            </w:r>
            <w:r>
              <w:rPr>
                <w:rFonts w:hint="default" w:ascii="Calibri" w:hAnsi="Calibri" w:eastAsia="仿宋" w:cs="Calibri"/>
                <w:sz w:val="28"/>
                <w:szCs w:val="28"/>
                <w:lang w:val="en-US" w:eastAsia="zh-CN"/>
              </w:rPr>
              <w:t>①</w:t>
            </w:r>
            <w:r>
              <w:rPr>
                <w:rFonts w:hint="eastAsia" w:ascii="仿宋" w:hAnsi="仿宋" w:eastAsia="仿宋" w:cs="仿宋"/>
                <w:sz w:val="28"/>
                <w:szCs w:val="28"/>
              </w:rPr>
              <w:t>售后服务计划、</w:t>
            </w:r>
            <w:r>
              <w:rPr>
                <w:rFonts w:hint="default" w:ascii="Calibri" w:hAnsi="Calibri" w:eastAsia="仿宋" w:cs="Calibri"/>
                <w:sz w:val="28"/>
                <w:szCs w:val="28"/>
              </w:rPr>
              <w:t>②</w:t>
            </w:r>
            <w:r>
              <w:rPr>
                <w:rFonts w:hint="eastAsia" w:ascii="仿宋" w:hAnsi="仿宋" w:eastAsia="仿宋" w:cs="仿宋"/>
                <w:sz w:val="28"/>
                <w:szCs w:val="28"/>
              </w:rPr>
              <w:t>服务内容、</w:t>
            </w:r>
            <w:r>
              <w:rPr>
                <w:rFonts w:hint="default" w:ascii="Calibri" w:hAnsi="Calibri" w:eastAsia="仿宋" w:cs="Calibri"/>
                <w:sz w:val="28"/>
                <w:szCs w:val="28"/>
              </w:rPr>
              <w:t>③</w:t>
            </w:r>
            <w:r>
              <w:rPr>
                <w:rFonts w:hint="eastAsia" w:ascii="仿宋" w:hAnsi="仿宋" w:eastAsia="仿宋" w:cs="仿宋"/>
                <w:sz w:val="28"/>
                <w:szCs w:val="28"/>
              </w:rPr>
              <w:t>服务保障体系、④服务响应时间、⑤应急预案</w:t>
            </w:r>
            <w:r>
              <w:rPr>
                <w:rFonts w:hint="eastAsia" w:ascii="仿宋" w:hAnsi="仿宋" w:eastAsia="仿宋" w:cs="仿宋"/>
                <w:sz w:val="28"/>
                <w:szCs w:val="28"/>
                <w:lang w:eastAsia="zh-CN"/>
              </w:rPr>
              <w:t>，</w:t>
            </w:r>
            <w:r>
              <w:rPr>
                <w:rFonts w:hint="eastAsia" w:ascii="仿宋" w:hAnsi="仿宋" w:eastAsia="仿宋" w:cs="仿宋"/>
                <w:sz w:val="28"/>
                <w:szCs w:val="28"/>
                <w:highlight w:val="none"/>
              </w:rPr>
              <w:t>完全满足以上要求并且合理可行、具有针对性的得</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分，每有一项内容缺失扣</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分，每有一项内容存在不合理或不足或没有针对性的扣</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p>
        </w:tc>
        <w:tc>
          <w:tcPr>
            <w:tcW w:w="714"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6分</w:t>
            </w:r>
          </w:p>
        </w:tc>
        <w:tc>
          <w:tcPr>
            <w:tcW w:w="1139"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培训方案</w:t>
            </w:r>
          </w:p>
        </w:tc>
        <w:tc>
          <w:tcPr>
            <w:tcW w:w="6327" w:type="dxa"/>
            <w:vAlign w:val="center"/>
          </w:tcPr>
          <w:p>
            <w:pPr>
              <w:pStyle w:val="21"/>
              <w:tabs>
                <w:tab w:val="left" w:pos="840"/>
              </w:tabs>
              <w:adjustRightInd w:val="0"/>
              <w:snapToGrid w:val="0"/>
              <w:spacing w:line="36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rPr>
              <w:t>评标委员会根据投标人提供的培训方案完整性和合理性在0～6分范围之间进行评分</w:t>
            </w:r>
            <w:r>
              <w:rPr>
                <w:rFonts w:hint="eastAsia" w:ascii="仿宋" w:hAnsi="仿宋" w:eastAsia="仿宋" w:cs="仿宋"/>
                <w:sz w:val="28"/>
                <w:szCs w:val="28"/>
                <w:lang w:eastAsia="zh-CN"/>
              </w:rPr>
              <w:t>，</w:t>
            </w:r>
            <w:r>
              <w:rPr>
                <w:rFonts w:hint="eastAsia" w:ascii="仿宋" w:hAnsi="仿宋" w:eastAsia="仿宋" w:cs="仿宋"/>
                <w:sz w:val="28"/>
                <w:szCs w:val="28"/>
                <w:highlight w:val="none"/>
                <w:lang w:val="en-US" w:eastAsia="zh-CN"/>
              </w:rPr>
              <w:t>内容至少包括：</w:t>
            </w:r>
            <w:r>
              <w:rPr>
                <w:rFonts w:hint="default" w:ascii="Calibri" w:hAnsi="Calibri" w:eastAsia="仿宋" w:cs="Calibri"/>
                <w:sz w:val="28"/>
                <w:szCs w:val="28"/>
                <w:highlight w:val="none"/>
                <w:lang w:val="en-US" w:eastAsia="zh-CN"/>
              </w:rPr>
              <w:t>①</w:t>
            </w:r>
            <w:r>
              <w:rPr>
                <w:rFonts w:hint="eastAsia" w:ascii="仿宋" w:hAnsi="仿宋" w:eastAsia="仿宋" w:cs="仿宋"/>
                <w:sz w:val="28"/>
                <w:szCs w:val="28"/>
                <w:highlight w:val="none"/>
              </w:rPr>
              <w:t>培训计划、</w:t>
            </w:r>
            <w:r>
              <w:rPr>
                <w:rFonts w:hint="default" w:ascii="Calibri" w:hAnsi="Calibri" w:eastAsia="仿宋" w:cs="Calibri"/>
                <w:sz w:val="28"/>
                <w:szCs w:val="28"/>
                <w:highlight w:val="none"/>
              </w:rPr>
              <w:t>②</w:t>
            </w:r>
            <w:r>
              <w:rPr>
                <w:rFonts w:hint="eastAsia" w:ascii="仿宋" w:hAnsi="仿宋" w:eastAsia="仿宋" w:cs="仿宋"/>
                <w:sz w:val="28"/>
                <w:szCs w:val="28"/>
                <w:highlight w:val="none"/>
              </w:rPr>
              <w:t>培训内容、</w:t>
            </w:r>
            <w:r>
              <w:rPr>
                <w:rFonts w:hint="default" w:ascii="Calibri" w:hAnsi="Calibri" w:eastAsia="仿宋" w:cs="Calibri"/>
                <w:sz w:val="28"/>
                <w:szCs w:val="28"/>
                <w:highlight w:val="none"/>
              </w:rPr>
              <w:t>③</w:t>
            </w:r>
            <w:r>
              <w:rPr>
                <w:rFonts w:hint="eastAsia" w:ascii="仿宋" w:hAnsi="仿宋" w:eastAsia="仿宋" w:cs="仿宋"/>
                <w:sz w:val="28"/>
                <w:szCs w:val="28"/>
                <w:highlight w:val="none"/>
              </w:rPr>
              <w:t>培训方式、④培训讲师安排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完全满足以上要求并且合理可行、具有针对性的得</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分，每有一项内容缺失扣</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分，每有一项内容存在不合理或不足或没有针对性的扣</w:t>
            </w:r>
            <w:r>
              <w:rPr>
                <w:rFonts w:hint="eastAsia" w:ascii="仿宋" w:hAnsi="仿宋" w:eastAsia="仿宋" w:cs="仿宋"/>
                <w:sz w:val="28"/>
                <w:szCs w:val="28"/>
                <w:highlight w:val="none"/>
                <w:lang w:val="en-US" w:eastAsia="zh-CN"/>
              </w:rPr>
              <w:t>0.75</w:t>
            </w:r>
            <w:r>
              <w:rPr>
                <w:rFonts w:hint="eastAsia" w:ascii="仿宋" w:hAnsi="仿宋" w:eastAsia="仿宋" w:cs="仿宋"/>
                <w:sz w:val="28"/>
                <w:szCs w:val="28"/>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p>
        </w:tc>
        <w:tc>
          <w:tcPr>
            <w:tcW w:w="714"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p>
        </w:tc>
        <w:tc>
          <w:tcPr>
            <w:tcW w:w="1139" w:type="dxa"/>
            <w:vAlign w:val="center"/>
          </w:tcPr>
          <w:p>
            <w:pPr>
              <w:tabs>
                <w:tab w:val="left" w:pos="360"/>
                <w:tab w:val="left" w:pos="84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同类业绩</w:t>
            </w:r>
          </w:p>
        </w:tc>
        <w:tc>
          <w:tcPr>
            <w:tcW w:w="6327" w:type="dxa"/>
            <w:vAlign w:val="center"/>
          </w:tcPr>
          <w:p>
            <w:pPr>
              <w:pStyle w:val="21"/>
              <w:tabs>
                <w:tab w:val="left" w:pos="840"/>
              </w:tabs>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rPr>
              <w:t>每提供一份近三年所投同品牌同类产品项目业绩的得1分，</w:t>
            </w:r>
            <w:r>
              <w:rPr>
                <w:rFonts w:hint="eastAsia" w:ascii="仿宋" w:hAnsi="仿宋" w:eastAsia="仿宋" w:cs="仿宋"/>
                <w:sz w:val="28"/>
                <w:szCs w:val="28"/>
                <w:highlight w:val="none"/>
              </w:rPr>
              <w:t>最多得</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p>
          <w:p>
            <w:pPr>
              <w:pStyle w:val="21"/>
              <w:tabs>
                <w:tab w:val="left" w:pos="840"/>
              </w:tabs>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注：在投标文件中提供采购合同佐证（含首页、设备清单页、签字或盖章页复印件），未按要求提供的业绩或用其他产品冒充或提供虚假业绩，业绩不予认可。</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何</w:t>
      </w:r>
      <w:bookmarkStart w:id="0" w:name="_GoBack"/>
      <w:bookmarkEnd w:id="0"/>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w:t>
      </w:r>
      <w:r>
        <w:rPr>
          <w:rFonts w:hint="eastAsia" w:ascii="仿宋" w:hAnsi="仿宋" w:eastAsia="仿宋" w:cstheme="minorEastAsia"/>
          <w:color w:val="000000" w:themeColor="text1"/>
          <w:sz w:val="28"/>
          <w:szCs w:val="28"/>
          <w:lang w:val="en-US" w:eastAsia="zh-CN"/>
          <w14:textFill>
            <w14:solidFill>
              <w14:schemeClr w14:val="tx1"/>
            </w14:solidFill>
          </w14:textFill>
        </w:rPr>
        <w:t>吴</w:t>
      </w:r>
      <w:r>
        <w:rPr>
          <w:rFonts w:hint="eastAsia" w:ascii="仿宋" w:hAnsi="仿宋" w:eastAsia="仿宋" w:cstheme="minorEastAsia"/>
          <w:color w:val="000000" w:themeColor="text1"/>
          <w:sz w:val="28"/>
          <w:szCs w:val="28"/>
          <w14:textFill>
            <w14:solidFill>
              <w14:schemeClr w14:val="tx1"/>
            </w14:solidFill>
          </w14:textFill>
        </w:rPr>
        <w:t>老师028-</w:t>
      </w:r>
      <w:r>
        <w:rPr>
          <w:rFonts w:hint="eastAsia" w:ascii="仿宋" w:hAnsi="仿宋" w:eastAsia="仿宋" w:cstheme="minorEastAsia"/>
          <w:color w:val="000000" w:themeColor="text1"/>
          <w:sz w:val="28"/>
          <w:szCs w:val="28"/>
          <w:lang w:val="en-US" w:eastAsia="zh-CN"/>
          <w14:textFill>
            <w14:solidFill>
              <w14:schemeClr w14:val="tx1"/>
            </w14:solidFill>
          </w14:textFill>
        </w:rPr>
        <w:t>81020070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4"/>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5"/>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ind w:left="0" w:leftChars="0"/>
        <w:rPr>
          <w:rFonts w:ascii="仿宋" w:hAnsi="仿宋" w:eastAsia="仿宋"/>
          <w:color w:val="000000" w:themeColor="text1"/>
          <w:sz w:val="28"/>
          <w:szCs w:val="28"/>
          <w14:textFill>
            <w14:solidFill>
              <w14:schemeClr w14:val="tx1"/>
            </w14:solidFill>
          </w14:textFill>
        </w:rPr>
      </w:pPr>
    </w:p>
    <w:p>
      <w:pPr>
        <w:pStyle w:val="5"/>
        <w:ind w:left="0" w:leftChars="0"/>
        <w:rPr>
          <w:rFonts w:ascii="仿宋" w:hAnsi="仿宋" w:eastAsia="仿宋"/>
          <w:color w:val="000000" w:themeColor="text1"/>
          <w:sz w:val="28"/>
          <w:szCs w:val="28"/>
          <w14:textFill>
            <w14:solidFill>
              <w14:schemeClr w14:val="tx1"/>
            </w14:solidFill>
          </w14:textFill>
        </w:rPr>
      </w:pP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4"/>
        <w:rPr>
          <w:rFonts w:cs="Times New Roman"/>
          <w:lang w:val="zh-CN"/>
        </w:rPr>
      </w:pPr>
      <w:r>
        <w:br w:type="page"/>
      </w:r>
    </w:p>
    <w:p>
      <w:pPr>
        <w:pStyle w:val="5"/>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2"/>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7"/>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7"/>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7"/>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4"/>
              <w:spacing w:line="360" w:lineRule="auto"/>
              <w:rPr>
                <w:rFonts w:ascii="仿宋" w:hAnsi="仿宋" w:eastAsia="仿宋" w:cs="仿宋"/>
                <w:sz w:val="24"/>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9"/>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172B0DAD"/>
    <w:multiLevelType w:val="multilevel"/>
    <w:tmpl w:val="172B0DA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FD56309"/>
    <w:multiLevelType w:val="multilevel"/>
    <w:tmpl w:val="1FD5630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221D6655"/>
    <w:multiLevelType w:val="multilevel"/>
    <w:tmpl w:val="221D6655"/>
    <w:lvl w:ilvl="0" w:tentative="0">
      <w:start w:val="1"/>
      <w:numFmt w:val="decimal"/>
      <w:suff w:val="nothing"/>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139A"/>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2F3"/>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3651E"/>
    <w:rsid w:val="02E545CF"/>
    <w:rsid w:val="061208CB"/>
    <w:rsid w:val="07622723"/>
    <w:rsid w:val="079972E3"/>
    <w:rsid w:val="08681BA6"/>
    <w:rsid w:val="0F6500AE"/>
    <w:rsid w:val="0F827431"/>
    <w:rsid w:val="10980BF3"/>
    <w:rsid w:val="11884B51"/>
    <w:rsid w:val="136F77BC"/>
    <w:rsid w:val="13B478FF"/>
    <w:rsid w:val="15EC41DA"/>
    <w:rsid w:val="185749EC"/>
    <w:rsid w:val="18D3325C"/>
    <w:rsid w:val="1AB85DDE"/>
    <w:rsid w:val="1C0A7E27"/>
    <w:rsid w:val="21044B9D"/>
    <w:rsid w:val="21450C91"/>
    <w:rsid w:val="23B31F24"/>
    <w:rsid w:val="27930786"/>
    <w:rsid w:val="28042D57"/>
    <w:rsid w:val="28FC1071"/>
    <w:rsid w:val="29BB23E3"/>
    <w:rsid w:val="2BD13993"/>
    <w:rsid w:val="2C471F68"/>
    <w:rsid w:val="2E7B7DD7"/>
    <w:rsid w:val="2F9D0AAC"/>
    <w:rsid w:val="313F0BB3"/>
    <w:rsid w:val="322070BA"/>
    <w:rsid w:val="328C6861"/>
    <w:rsid w:val="333241A7"/>
    <w:rsid w:val="339577D0"/>
    <w:rsid w:val="34D573EB"/>
    <w:rsid w:val="364113AE"/>
    <w:rsid w:val="364A218F"/>
    <w:rsid w:val="372B531C"/>
    <w:rsid w:val="37B36199"/>
    <w:rsid w:val="3844628F"/>
    <w:rsid w:val="39296E78"/>
    <w:rsid w:val="39CE723C"/>
    <w:rsid w:val="3A257358"/>
    <w:rsid w:val="3AA773FE"/>
    <w:rsid w:val="3B011BDC"/>
    <w:rsid w:val="3E327C16"/>
    <w:rsid w:val="402819DE"/>
    <w:rsid w:val="410E2562"/>
    <w:rsid w:val="41332DEE"/>
    <w:rsid w:val="4298360A"/>
    <w:rsid w:val="429E3216"/>
    <w:rsid w:val="433A3C4A"/>
    <w:rsid w:val="43FA4673"/>
    <w:rsid w:val="44BB4395"/>
    <w:rsid w:val="44E977E0"/>
    <w:rsid w:val="44EE129A"/>
    <w:rsid w:val="457D4353"/>
    <w:rsid w:val="493960B2"/>
    <w:rsid w:val="4A3D7EA2"/>
    <w:rsid w:val="4ED65091"/>
    <w:rsid w:val="4F37130D"/>
    <w:rsid w:val="50166990"/>
    <w:rsid w:val="50C8395B"/>
    <w:rsid w:val="51BF0246"/>
    <w:rsid w:val="51CD7F6D"/>
    <w:rsid w:val="52530863"/>
    <w:rsid w:val="531F70F4"/>
    <w:rsid w:val="553C243D"/>
    <w:rsid w:val="57A71560"/>
    <w:rsid w:val="585D60C3"/>
    <w:rsid w:val="5939268C"/>
    <w:rsid w:val="59EB6C90"/>
    <w:rsid w:val="5AD9316A"/>
    <w:rsid w:val="5CAA0423"/>
    <w:rsid w:val="5E9B7945"/>
    <w:rsid w:val="5F313141"/>
    <w:rsid w:val="5F5156AC"/>
    <w:rsid w:val="5F97010C"/>
    <w:rsid w:val="63345F40"/>
    <w:rsid w:val="641E0DFC"/>
    <w:rsid w:val="655A0F44"/>
    <w:rsid w:val="664F1761"/>
    <w:rsid w:val="6660243F"/>
    <w:rsid w:val="66F73056"/>
    <w:rsid w:val="688C64CE"/>
    <w:rsid w:val="6AE07204"/>
    <w:rsid w:val="6C0A7EB8"/>
    <w:rsid w:val="6DC73329"/>
    <w:rsid w:val="6E5115C5"/>
    <w:rsid w:val="6E96154E"/>
    <w:rsid w:val="70316124"/>
    <w:rsid w:val="7277650C"/>
    <w:rsid w:val="73B644A9"/>
    <w:rsid w:val="75DC4D0C"/>
    <w:rsid w:val="78882890"/>
    <w:rsid w:val="7C604EF5"/>
    <w:rsid w:val="7E357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styleId="3">
    <w:name w:val="annotation text"/>
    <w:basedOn w:val="1"/>
    <w:link w:val="19"/>
    <w:autoRedefine/>
    <w:qFormat/>
    <w:uiPriority w:val="0"/>
    <w:pPr>
      <w:jc w:val="left"/>
    </w:pPr>
    <w:rPr>
      <w:sz w:val="18"/>
      <w:szCs w:val="20"/>
    </w:rPr>
  </w:style>
  <w:style w:type="paragraph" w:styleId="4">
    <w:name w:val="Body Text"/>
    <w:basedOn w:val="1"/>
    <w:link w:val="18"/>
    <w:autoRedefine/>
    <w:qFormat/>
    <w:uiPriority w:val="0"/>
    <w:rPr>
      <w:rFonts w:ascii="Times New Roman"/>
    </w:rPr>
  </w:style>
  <w:style w:type="paragraph" w:styleId="5">
    <w:name w:val="Body Text Indent"/>
    <w:basedOn w:val="1"/>
    <w:link w:val="17"/>
    <w:autoRedefine/>
    <w:qFormat/>
    <w:uiPriority w:val="0"/>
    <w:pPr>
      <w:spacing w:after="120"/>
      <w:ind w:left="420" w:leftChars="200"/>
    </w:pPr>
    <w:rPr>
      <w:rFonts w:ascii="Calibri" w:hAnsi="Calibri" w:eastAsia="宋体" w:cs="Times New Roman"/>
      <w:lang w:val="zh-CN"/>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w:basedOn w:val="4"/>
    <w:link w:val="20"/>
    <w:autoRedefine/>
    <w:unhideWhenUsed/>
    <w:qFormat/>
    <w:uiPriority w:val="99"/>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paragraph" w:customStyle="1" w:styleId="14">
    <w:name w:val="xl51"/>
    <w:basedOn w:val="1"/>
    <w:autoRedefine/>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2"/>
    <w:link w:val="7"/>
    <w:autoRedefine/>
    <w:qFormat/>
    <w:uiPriority w:val="0"/>
    <w:rPr>
      <w:rFonts w:asciiTheme="minorHAnsi" w:hAnsiTheme="minorHAnsi" w:eastAsiaTheme="minorEastAsia" w:cstheme="minorBidi"/>
      <w:kern w:val="2"/>
      <w:sz w:val="18"/>
      <w:szCs w:val="18"/>
    </w:rPr>
  </w:style>
  <w:style w:type="character" w:customStyle="1" w:styleId="16">
    <w:name w:val="页脚 字符"/>
    <w:basedOn w:val="12"/>
    <w:link w:val="6"/>
    <w:autoRedefine/>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5"/>
    <w:autoRedefine/>
    <w:qFormat/>
    <w:uiPriority w:val="0"/>
    <w:rPr>
      <w:rFonts w:ascii="Calibri" w:hAnsi="Calibri"/>
      <w:kern w:val="2"/>
      <w:sz w:val="21"/>
      <w:szCs w:val="24"/>
      <w:lang w:val="zh-CN"/>
    </w:rPr>
  </w:style>
  <w:style w:type="character" w:customStyle="1" w:styleId="18">
    <w:name w:val="正文文本 字符"/>
    <w:basedOn w:val="12"/>
    <w:link w:val="4"/>
    <w:autoRedefine/>
    <w:qFormat/>
    <w:uiPriority w:val="99"/>
    <w:rPr>
      <w:rFonts w:hAnsiTheme="minorHAnsi" w:eastAsiaTheme="minorEastAsia" w:cstheme="minorBidi"/>
      <w:kern w:val="2"/>
      <w:sz w:val="21"/>
      <w:szCs w:val="24"/>
    </w:rPr>
  </w:style>
  <w:style w:type="character" w:customStyle="1" w:styleId="19">
    <w:name w:val="批注文字 字符"/>
    <w:link w:val="3"/>
    <w:autoRedefine/>
    <w:qFormat/>
    <w:uiPriority w:val="0"/>
    <w:rPr>
      <w:rFonts w:asciiTheme="minorHAnsi" w:hAnsiTheme="minorHAnsi" w:eastAsiaTheme="minorEastAsia" w:cstheme="minorBidi"/>
      <w:kern w:val="2"/>
      <w:sz w:val="18"/>
    </w:rPr>
  </w:style>
  <w:style w:type="character" w:customStyle="1" w:styleId="20">
    <w:name w:val="正文首行缩进 字符"/>
    <w:basedOn w:val="18"/>
    <w:link w:val="9"/>
    <w:autoRedefine/>
    <w:qFormat/>
    <w:uiPriority w:val="99"/>
    <w:rPr>
      <w:rFonts w:hAnsiTheme="minorHAnsi" w:eastAsiaTheme="minorEastAsia" w:cstheme="minorBidi"/>
      <w:kern w:val="2"/>
      <w:sz w:val="21"/>
      <w:szCs w:val="24"/>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1048</Words>
  <Characters>5976</Characters>
  <Lines>49</Lines>
  <Paragraphs>14</Paragraphs>
  <TotalTime>1</TotalTime>
  <ScaleCrop>false</ScaleCrop>
  <LinksUpToDate>false</LinksUpToDate>
  <CharactersWithSpaces>7010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2021-11-04T11:04:00Z</dcterms:created>
  <dc:creator>隆道-01</dc:creator>
  <cp:lastModifiedBy>起点</cp:lastModifiedBy>
  <dcterms:modified xsi:type="dcterms:W3CDTF">2024-05-07T07:38:20Z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BB48151513D94D99A9F7E033D00B98CE_13</vt:lpwstr>
  </property>
</Properties>
</file>