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人脸识别门禁系统采购项目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6"/>
        <w:rPr>
          <w:rFonts w:ascii="仿宋" w:hAnsi="仿宋" w:eastAsia="仿宋"/>
        </w:rPr>
      </w:pPr>
    </w:p>
    <w:p>
      <w:pPr>
        <w:pStyle w:val="6"/>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6"/>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因四川省精神医学中开展临床业务需求</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需要采购</w:t>
      </w:r>
      <w:r>
        <w:rPr>
          <w:rFonts w:hint="eastAsia" w:ascii="仿宋" w:hAnsi="仿宋" w:eastAsia="仿宋" w:cstheme="minorEastAsia"/>
          <w:color w:val="000000" w:themeColor="text1"/>
          <w:sz w:val="28"/>
          <w:szCs w:val="28"/>
          <w:lang w:val="en-US" w:eastAsia="zh-CN"/>
          <w14:textFill>
            <w14:solidFill>
              <w14:schemeClr w14:val="tx1"/>
            </w14:solidFill>
          </w14:textFill>
        </w:rPr>
        <w:t>一批人脸识别门禁系统</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13</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13</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8</w:t>
      </w:r>
      <w:r>
        <w:rPr>
          <w:rFonts w:hint="eastAsia" w:ascii="仿宋" w:hAnsi="仿宋" w:eastAsia="仿宋" w:cstheme="minorEastAsia"/>
          <w:color w:val="000000" w:themeColor="text1"/>
          <w:sz w:val="28"/>
          <w:szCs w:val="28"/>
          <w:u w:val="single"/>
          <w14:textFill>
            <w14:solidFill>
              <w14:schemeClr w14:val="tx1"/>
            </w14:solidFill>
          </w14:textFill>
        </w:rPr>
        <w:t>万元</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起到约束作用。</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keepNext w:val="0"/>
        <w:keepLines w:val="0"/>
        <w:pageBreakBefore w:val="0"/>
        <w:kinsoku/>
        <w:wordWrap/>
        <w:overflowPunct/>
        <w:topLinePunct w:val="0"/>
        <w:autoSpaceDE/>
        <w:autoSpaceDN/>
        <w:bidi w:val="0"/>
        <w:adjustRightInd/>
        <w:snapToGrid/>
        <w:spacing w:beforeAutospacing="0" w:afterAutospacing="0"/>
        <w:ind w:left="560" w:hanging="560" w:hangingChars="200"/>
        <w:jc w:val="left"/>
        <w:textAlignment w:val="auto"/>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序号</w:t>
            </w:r>
          </w:p>
        </w:tc>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设备名称</w:t>
            </w:r>
          </w:p>
        </w:tc>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数量（批）</w:t>
            </w:r>
          </w:p>
        </w:tc>
        <w:tc>
          <w:tcPr>
            <w:tcW w:w="170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是否属于医疗器械</w:t>
            </w:r>
          </w:p>
        </w:tc>
        <w:tc>
          <w:tcPr>
            <w:tcW w:w="170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预算金额（含税总价）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1</w:t>
            </w:r>
          </w:p>
        </w:tc>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人脸识别门禁系统</w:t>
            </w:r>
          </w:p>
        </w:tc>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1</w:t>
            </w:r>
          </w:p>
        </w:tc>
        <w:tc>
          <w:tcPr>
            <w:tcW w:w="170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否</w:t>
            </w:r>
          </w:p>
        </w:tc>
        <w:tc>
          <w:tcPr>
            <w:tcW w:w="170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8万元</w:t>
            </w:r>
          </w:p>
        </w:tc>
      </w:tr>
    </w:tbl>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仿宋" w:hAnsi="仿宋" w:eastAsia="仿宋" w:cs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keepNext w:val="0"/>
        <w:keepLines w:val="0"/>
        <w:pageBreakBefore w:val="0"/>
        <w:kinsoku/>
        <w:wordWrap/>
        <w:overflowPunct/>
        <w:topLinePunct w:val="0"/>
        <w:autoSpaceDE/>
        <w:autoSpaceDN/>
        <w:bidi w:val="0"/>
        <w:adjustRightInd/>
        <w:snapToGrid/>
        <w:jc w:val="left"/>
        <w:textAlignment w:val="auto"/>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的投标文件不退回，且不对</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自行承担；</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6"/>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p>
    <w:p>
      <w:pPr>
        <w:pStyle w:val="11"/>
        <w:ind w:firstLine="210"/>
        <w:rPr>
          <w:rFonts w:ascii="仿宋" w:hAnsi="仿宋" w:eastAsia="仿宋"/>
          <w:color w:val="000000" w:themeColor="text1"/>
          <w14:textFill>
            <w14:solidFill>
              <w14:schemeClr w14:val="tx1"/>
            </w14:solidFill>
          </w14:textFill>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11"/>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w:t>
      </w:r>
      <w:r>
        <w:rPr>
          <w:rFonts w:hint="eastAsia" w:ascii="仿宋" w:hAnsi="仿宋" w:eastAsia="仿宋"/>
          <w:color w:val="000000"/>
          <w:sz w:val="27"/>
          <w:szCs w:val="27"/>
          <w:lang w:eastAsia="zh-CN"/>
        </w:rPr>
        <w:t>供应商</w:t>
      </w:r>
      <w:r>
        <w:rPr>
          <w:rFonts w:hint="eastAsia" w:ascii="仿宋" w:hAnsi="仿宋" w:eastAsia="仿宋"/>
          <w:color w:val="000000"/>
          <w:sz w:val="27"/>
          <w:szCs w:val="27"/>
        </w:rPr>
        <w:t>应全部满足；标注“▲”号的条款为重要技术条款，非实质性要求。</w:t>
      </w:r>
    </w:p>
    <w:p>
      <w:pPr>
        <w:pStyle w:val="10"/>
        <w:rPr>
          <w:rFonts w:ascii="仿宋" w:hAnsi="仿宋" w:eastAsia="仿宋"/>
          <w:b/>
          <w:color w:val="000000"/>
          <w:sz w:val="28"/>
          <w:szCs w:val="27"/>
        </w:rPr>
      </w:pPr>
      <w:r>
        <w:rPr>
          <w:rFonts w:hint="eastAsia" w:ascii="仿宋" w:hAnsi="仿宋" w:eastAsia="仿宋"/>
          <w:b/>
          <w:color w:val="000000"/>
          <w:sz w:val="28"/>
          <w:szCs w:val="27"/>
        </w:rPr>
        <w:t>5.1资格要求</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若为企业法人：提供“统一社会信用代码营业执照”；②若为事业法人：提供“统一社会信用代码法人登记证书”；③若为其他组织：提供“对应主管部门颁发的准许执业证明文件或营业执照”；④</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若为自然人：提供“身份证明材料”。以上均提供复印件。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体现健全的财务制度的证明材料：①可提供2020-2022年度（任意一年）经审计的财务报告复印件（包含审计报告和审计报告中所涉及的财务报表和报表附注）；②也可提供2020-2022年度（任意一年）</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内部的财务报表复印件（至少包含资产负债表）；③也可提供距文件递交截止日一年内银行出具的资信证明（复印件）；④</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单位及其现任法定代表人、主要负责人在参加政府采购活动前三年内无行贿犯罪记录的承诺函（注：如经核实属虚假承诺的，将做无效投标处理）。</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须提供依法缴纳税收和社会保障资金的承诺函原件或者近三个月依法缴纳税收和社会保障资金的证明材料复印件。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的医疗器械经营许可证复印件（一类医疗器械可不提供，二类仅提供医疗器械经营备案表；根据国办发〔2017〕41号政策要求“多证合一”的营业执照除外）。</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代表为非法定代表人时提供）。</w:t>
      </w:r>
    </w:p>
    <w:p>
      <w:pPr>
        <w:pStyle w:val="10"/>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10"/>
        <w:rPr>
          <w:rFonts w:hint="eastAsia"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人脸识别主机：</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主处理器：嵌入式处理器；</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显示屏：≥7英寸液晶屏；</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屏幕：支持触摸；</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播放：支持图片、文字、视频播放；</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摄像头：2MP CMOS高清双摄像头；</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远程验证：支持；</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黑白名单设定：支持；</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实时监控：支持；</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多重认证：支持；</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WEB配置：支持；</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w:t>
      </w:r>
      <w:r>
        <w:rPr>
          <w:rFonts w:hint="eastAsia" w:ascii="仿宋" w:hAnsi="仿宋" w:eastAsia="仿宋" w:cs="仿宋"/>
          <w:sz w:val="28"/>
          <w:szCs w:val="28"/>
        </w:rPr>
        <w:t>主动注册：支持；</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w:t>
      </w:r>
      <w:r>
        <w:rPr>
          <w:rFonts w:hint="eastAsia" w:ascii="仿宋" w:hAnsi="仿宋" w:eastAsia="仿宋" w:cs="仿宋"/>
          <w:sz w:val="28"/>
          <w:szCs w:val="28"/>
        </w:rPr>
        <w:t>人脸识别准确率：不低于99.9%；</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13</w:t>
      </w:r>
      <w:r>
        <w:rPr>
          <w:rFonts w:hint="eastAsia" w:ascii="仿宋" w:hAnsi="仿宋" w:eastAsia="仿宋" w:cs="仿宋"/>
          <w:sz w:val="28"/>
          <w:szCs w:val="28"/>
          <w:lang w:eastAsia="zh-CN"/>
        </w:rPr>
        <w:t>）</w:t>
      </w:r>
      <w:r>
        <w:rPr>
          <w:rFonts w:hint="eastAsia" w:ascii="仿宋" w:hAnsi="仿宋" w:eastAsia="仿宋" w:cs="仿宋"/>
          <w:sz w:val="28"/>
          <w:szCs w:val="28"/>
        </w:rPr>
        <w:t>人脸识别速度：0.2s，±0.1s；</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14</w:t>
      </w:r>
      <w:r>
        <w:rPr>
          <w:rFonts w:hint="eastAsia" w:ascii="仿宋" w:hAnsi="仿宋" w:eastAsia="仿宋" w:cs="仿宋"/>
          <w:sz w:val="28"/>
          <w:szCs w:val="28"/>
          <w:lang w:eastAsia="zh-CN"/>
        </w:rPr>
        <w:t>）</w:t>
      </w:r>
      <w:r>
        <w:rPr>
          <w:rFonts w:hint="eastAsia" w:ascii="仿宋" w:hAnsi="仿宋" w:eastAsia="仿宋" w:cs="仿宋"/>
          <w:sz w:val="28"/>
          <w:szCs w:val="28"/>
        </w:rPr>
        <w:t>用户容量：≥20000个；</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15</w:t>
      </w:r>
      <w:r>
        <w:rPr>
          <w:rFonts w:hint="eastAsia" w:ascii="仿宋" w:hAnsi="仿宋" w:eastAsia="仿宋" w:cs="仿宋"/>
          <w:sz w:val="28"/>
          <w:szCs w:val="28"/>
          <w:lang w:eastAsia="zh-CN"/>
        </w:rPr>
        <w:t>）</w:t>
      </w:r>
      <w:r>
        <w:rPr>
          <w:rFonts w:hint="eastAsia" w:ascii="仿宋" w:hAnsi="仿宋" w:eastAsia="仿宋" w:cs="仿宋"/>
          <w:sz w:val="28"/>
          <w:szCs w:val="28"/>
        </w:rPr>
        <w:t>人脸容量：≥20000张；</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16</w:t>
      </w:r>
      <w:r>
        <w:rPr>
          <w:rFonts w:hint="eastAsia" w:ascii="仿宋" w:hAnsi="仿宋" w:eastAsia="仿宋" w:cs="仿宋"/>
          <w:sz w:val="28"/>
          <w:szCs w:val="28"/>
          <w:lang w:eastAsia="zh-CN"/>
        </w:rPr>
        <w:t>）</w:t>
      </w:r>
      <w:r>
        <w:rPr>
          <w:rFonts w:hint="eastAsia" w:ascii="仿宋" w:hAnsi="仿宋" w:eastAsia="仿宋" w:cs="仿宋"/>
          <w:sz w:val="28"/>
          <w:szCs w:val="28"/>
        </w:rPr>
        <w:t>卡片容量：≥50000张；</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17</w:t>
      </w:r>
      <w:r>
        <w:rPr>
          <w:rFonts w:hint="eastAsia" w:ascii="仿宋" w:hAnsi="仿宋" w:eastAsia="仿宋" w:cs="仿宋"/>
          <w:sz w:val="28"/>
          <w:szCs w:val="28"/>
          <w:lang w:eastAsia="zh-CN"/>
        </w:rPr>
        <w:t>）</w:t>
      </w:r>
      <w:r>
        <w:rPr>
          <w:rFonts w:hint="eastAsia" w:ascii="仿宋" w:hAnsi="仿宋" w:eastAsia="仿宋" w:cs="仿宋"/>
          <w:sz w:val="28"/>
          <w:szCs w:val="28"/>
        </w:rPr>
        <w:t>密码容量：≥20000个；</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18</w:t>
      </w:r>
      <w:r>
        <w:rPr>
          <w:rFonts w:hint="eastAsia" w:ascii="仿宋" w:hAnsi="仿宋" w:eastAsia="仿宋" w:cs="仿宋"/>
          <w:sz w:val="28"/>
          <w:szCs w:val="28"/>
          <w:lang w:eastAsia="zh-CN"/>
        </w:rPr>
        <w:t>）</w:t>
      </w:r>
      <w:r>
        <w:rPr>
          <w:rFonts w:hint="eastAsia" w:ascii="仿宋" w:hAnsi="仿宋" w:eastAsia="仿宋" w:cs="仿宋"/>
          <w:sz w:val="28"/>
          <w:szCs w:val="28"/>
        </w:rPr>
        <w:t>存储记录数量：≥300000条；</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19</w:t>
      </w:r>
      <w:r>
        <w:rPr>
          <w:rFonts w:hint="eastAsia" w:ascii="仿宋" w:hAnsi="仿宋" w:eastAsia="仿宋" w:cs="仿宋"/>
          <w:sz w:val="28"/>
          <w:szCs w:val="28"/>
          <w:lang w:eastAsia="zh-CN"/>
        </w:rPr>
        <w:t>）</w:t>
      </w:r>
      <w:r>
        <w:rPr>
          <w:rFonts w:hint="eastAsia" w:ascii="仿宋" w:hAnsi="仿宋" w:eastAsia="仿宋" w:cs="仿宋"/>
          <w:sz w:val="28"/>
          <w:szCs w:val="28"/>
        </w:rPr>
        <w:t>RS-485接口：≥1个；</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w:t>
      </w:r>
      <w:r>
        <w:rPr>
          <w:rFonts w:hint="eastAsia" w:ascii="仿宋" w:hAnsi="仿宋" w:eastAsia="仿宋" w:cs="仿宋"/>
          <w:sz w:val="28"/>
          <w:szCs w:val="28"/>
          <w:lang w:eastAsia="zh-CN"/>
        </w:rPr>
        <w:t>）</w:t>
      </w:r>
      <w:r>
        <w:rPr>
          <w:rFonts w:hint="eastAsia" w:ascii="仿宋" w:hAnsi="仿宋" w:eastAsia="仿宋" w:cs="仿宋"/>
          <w:sz w:val="28"/>
          <w:szCs w:val="28"/>
        </w:rPr>
        <w:t>RS-232接口：≥1个；</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21</w:t>
      </w:r>
      <w:r>
        <w:rPr>
          <w:rFonts w:hint="eastAsia" w:ascii="仿宋" w:hAnsi="仿宋" w:eastAsia="仿宋" w:cs="仿宋"/>
          <w:sz w:val="28"/>
          <w:szCs w:val="28"/>
          <w:lang w:eastAsia="zh-CN"/>
        </w:rPr>
        <w:t>）</w:t>
      </w:r>
      <w:r>
        <w:rPr>
          <w:rFonts w:hint="eastAsia" w:ascii="仿宋" w:hAnsi="仿宋" w:eastAsia="仿宋" w:cs="仿宋"/>
          <w:sz w:val="28"/>
          <w:szCs w:val="28"/>
        </w:rPr>
        <w:t>韦根接口：≥1路输入/输出；</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22</w:t>
      </w:r>
      <w:r>
        <w:rPr>
          <w:rFonts w:hint="eastAsia" w:ascii="仿宋" w:hAnsi="仿宋" w:eastAsia="仿宋" w:cs="仿宋"/>
          <w:sz w:val="28"/>
          <w:szCs w:val="28"/>
          <w:lang w:eastAsia="zh-CN"/>
        </w:rPr>
        <w:t>）</w:t>
      </w:r>
      <w:r>
        <w:rPr>
          <w:rFonts w:hint="eastAsia" w:ascii="仿宋" w:hAnsi="仿宋" w:eastAsia="仿宋" w:cs="仿宋"/>
          <w:sz w:val="28"/>
          <w:szCs w:val="28"/>
        </w:rPr>
        <w:t>USB接口：≥1个USB2.0接口；</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23</w:t>
      </w:r>
      <w:r>
        <w:rPr>
          <w:rFonts w:hint="eastAsia" w:ascii="仿宋" w:hAnsi="仿宋" w:eastAsia="仿宋" w:cs="仿宋"/>
          <w:sz w:val="28"/>
          <w:szCs w:val="28"/>
          <w:lang w:eastAsia="zh-CN"/>
        </w:rPr>
        <w:t>）</w:t>
      </w:r>
      <w:r>
        <w:rPr>
          <w:rFonts w:hint="eastAsia" w:ascii="仿宋" w:hAnsi="仿宋" w:eastAsia="仿宋" w:cs="仿宋"/>
          <w:sz w:val="28"/>
          <w:szCs w:val="28"/>
        </w:rPr>
        <w:t>网络接口：≥1个10Mbps/100Mbps自适应以太网口；</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w:t>
      </w:r>
      <w:r>
        <w:rPr>
          <w:rFonts w:hint="eastAsia" w:ascii="仿宋" w:hAnsi="仿宋" w:eastAsia="仿宋" w:cs="仿宋"/>
          <w:sz w:val="28"/>
          <w:szCs w:val="28"/>
        </w:rPr>
        <w:t>报警输入：≥2路（开关量）；</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25</w:t>
      </w:r>
      <w:r>
        <w:rPr>
          <w:rFonts w:hint="eastAsia" w:ascii="仿宋" w:hAnsi="仿宋" w:eastAsia="仿宋" w:cs="仿宋"/>
          <w:sz w:val="28"/>
          <w:szCs w:val="28"/>
          <w:lang w:eastAsia="zh-CN"/>
        </w:rPr>
        <w:t>）</w:t>
      </w:r>
      <w:r>
        <w:rPr>
          <w:rFonts w:hint="eastAsia" w:ascii="仿宋" w:hAnsi="仿宋" w:eastAsia="仿宋" w:cs="仿宋"/>
          <w:sz w:val="28"/>
          <w:szCs w:val="28"/>
        </w:rPr>
        <w:t>报警输出：≥1路（继电器）；</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26</w:t>
      </w:r>
      <w:r>
        <w:rPr>
          <w:rFonts w:hint="eastAsia" w:ascii="仿宋" w:hAnsi="仿宋" w:eastAsia="仿宋" w:cs="仿宋"/>
          <w:sz w:val="28"/>
          <w:szCs w:val="28"/>
          <w:lang w:eastAsia="zh-CN"/>
        </w:rPr>
        <w:t>）</w:t>
      </w:r>
      <w:r>
        <w:rPr>
          <w:rFonts w:hint="eastAsia" w:ascii="仿宋" w:hAnsi="仿宋" w:eastAsia="仿宋" w:cs="仿宋"/>
          <w:sz w:val="28"/>
          <w:szCs w:val="28"/>
        </w:rPr>
        <w:t>报警联动：支持；</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27</w:t>
      </w:r>
      <w:r>
        <w:rPr>
          <w:rFonts w:hint="eastAsia" w:ascii="仿宋" w:hAnsi="仿宋" w:eastAsia="仿宋" w:cs="仿宋"/>
          <w:sz w:val="28"/>
          <w:szCs w:val="28"/>
          <w:lang w:eastAsia="zh-CN"/>
        </w:rPr>
        <w:t>）</w:t>
      </w:r>
      <w:r>
        <w:rPr>
          <w:rFonts w:hint="eastAsia" w:ascii="仿宋" w:hAnsi="仿宋" w:eastAsia="仿宋" w:cs="仿宋"/>
          <w:sz w:val="28"/>
          <w:szCs w:val="28"/>
        </w:rPr>
        <w:t>开门按钮：≥1路；</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28</w:t>
      </w:r>
      <w:r>
        <w:rPr>
          <w:rFonts w:hint="eastAsia" w:ascii="仿宋" w:hAnsi="仿宋" w:eastAsia="仿宋" w:cs="仿宋"/>
          <w:sz w:val="28"/>
          <w:szCs w:val="28"/>
          <w:lang w:eastAsia="zh-CN"/>
        </w:rPr>
        <w:t>）</w:t>
      </w:r>
      <w:r>
        <w:rPr>
          <w:rFonts w:hint="eastAsia" w:ascii="仿宋" w:hAnsi="仿宋" w:eastAsia="仿宋" w:cs="仿宋"/>
          <w:sz w:val="28"/>
          <w:szCs w:val="28"/>
        </w:rPr>
        <w:t>门状态检测：≥1路；</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29</w:t>
      </w:r>
      <w:r>
        <w:rPr>
          <w:rFonts w:hint="eastAsia" w:ascii="仿宋" w:hAnsi="仿宋" w:eastAsia="仿宋" w:cs="仿宋"/>
          <w:sz w:val="28"/>
          <w:szCs w:val="28"/>
          <w:lang w:eastAsia="zh-CN"/>
        </w:rPr>
        <w:t>）</w:t>
      </w:r>
      <w:r>
        <w:rPr>
          <w:rFonts w:hint="eastAsia" w:ascii="仿宋" w:hAnsi="仿宋" w:eastAsia="仿宋" w:cs="仿宋"/>
          <w:sz w:val="28"/>
          <w:szCs w:val="28"/>
        </w:rPr>
        <w:t>门锁控制：≥1路；</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w:t>
      </w:r>
      <w:r>
        <w:rPr>
          <w:rFonts w:hint="eastAsia" w:ascii="仿宋" w:hAnsi="仿宋" w:eastAsia="仿宋" w:cs="仿宋"/>
          <w:sz w:val="28"/>
          <w:szCs w:val="28"/>
        </w:rPr>
        <w:t>防反潜：支持；</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31</w:t>
      </w:r>
      <w:r>
        <w:rPr>
          <w:rFonts w:hint="eastAsia" w:ascii="仿宋" w:hAnsi="仿宋" w:eastAsia="仿宋" w:cs="仿宋"/>
          <w:sz w:val="28"/>
          <w:szCs w:val="28"/>
          <w:lang w:eastAsia="zh-CN"/>
        </w:rPr>
        <w:t>）</w:t>
      </w:r>
      <w:r>
        <w:rPr>
          <w:rFonts w:hint="eastAsia" w:ascii="仿宋" w:hAnsi="仿宋" w:eastAsia="仿宋" w:cs="仿宋"/>
          <w:sz w:val="28"/>
          <w:szCs w:val="28"/>
        </w:rPr>
        <w:t>防拆报警：支持；</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32</w:t>
      </w:r>
      <w:r>
        <w:rPr>
          <w:rFonts w:hint="eastAsia" w:ascii="仿宋" w:hAnsi="仿宋" w:eastAsia="仿宋" w:cs="仿宋"/>
          <w:sz w:val="28"/>
          <w:szCs w:val="28"/>
          <w:lang w:eastAsia="zh-CN"/>
        </w:rPr>
        <w:t>）</w:t>
      </w:r>
      <w:r>
        <w:rPr>
          <w:rFonts w:hint="eastAsia" w:ascii="仿宋" w:hAnsi="仿宋" w:eastAsia="仿宋" w:cs="仿宋"/>
          <w:sz w:val="28"/>
          <w:szCs w:val="28"/>
        </w:rPr>
        <w:t>胁迫报警：支持；</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33</w:t>
      </w:r>
      <w:r>
        <w:rPr>
          <w:rFonts w:hint="eastAsia" w:ascii="仿宋" w:hAnsi="仿宋" w:eastAsia="仿宋" w:cs="仿宋"/>
          <w:sz w:val="28"/>
          <w:szCs w:val="28"/>
          <w:lang w:eastAsia="zh-CN"/>
        </w:rPr>
        <w:t>）</w:t>
      </w:r>
      <w:r>
        <w:rPr>
          <w:rFonts w:hint="eastAsia" w:ascii="仿宋" w:hAnsi="仿宋" w:eastAsia="仿宋" w:cs="仿宋"/>
          <w:sz w:val="28"/>
          <w:szCs w:val="28"/>
        </w:rPr>
        <w:t>门超时报警：支持；</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34</w:t>
      </w:r>
      <w:r>
        <w:rPr>
          <w:rFonts w:hint="eastAsia" w:ascii="仿宋" w:hAnsi="仿宋" w:eastAsia="仿宋" w:cs="仿宋"/>
          <w:sz w:val="28"/>
          <w:szCs w:val="28"/>
          <w:lang w:eastAsia="zh-CN"/>
        </w:rPr>
        <w:t>）</w:t>
      </w:r>
      <w:r>
        <w:rPr>
          <w:rFonts w:hint="eastAsia" w:ascii="仿宋" w:hAnsi="仿宋" w:eastAsia="仿宋" w:cs="仿宋"/>
          <w:sz w:val="28"/>
          <w:szCs w:val="28"/>
        </w:rPr>
        <w:t>非法闯入报警：支持；</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35</w:t>
      </w:r>
      <w:r>
        <w:rPr>
          <w:rFonts w:hint="eastAsia" w:ascii="仿宋" w:hAnsi="仿宋" w:eastAsia="仿宋" w:cs="仿宋"/>
          <w:sz w:val="28"/>
          <w:szCs w:val="28"/>
          <w:lang w:eastAsia="zh-CN"/>
        </w:rPr>
        <w:t>）</w:t>
      </w:r>
      <w:r>
        <w:rPr>
          <w:rFonts w:hint="eastAsia" w:ascii="仿宋" w:hAnsi="仿宋" w:eastAsia="仿宋" w:cs="仿宋"/>
          <w:sz w:val="28"/>
          <w:szCs w:val="28"/>
        </w:rPr>
        <w:t>非法卡超次报警：支持；</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36</w:t>
      </w:r>
      <w:r>
        <w:rPr>
          <w:rFonts w:hint="eastAsia" w:ascii="仿宋" w:hAnsi="仿宋" w:eastAsia="仿宋" w:cs="仿宋"/>
          <w:sz w:val="28"/>
          <w:szCs w:val="28"/>
          <w:lang w:eastAsia="zh-CN"/>
        </w:rPr>
        <w:t>）</w:t>
      </w:r>
      <w:r>
        <w:rPr>
          <w:rFonts w:hint="eastAsia" w:ascii="仿宋" w:hAnsi="仿宋" w:eastAsia="仿宋" w:cs="仿宋"/>
          <w:sz w:val="28"/>
          <w:szCs w:val="28"/>
        </w:rPr>
        <w:t>安装方式：支持多种类型安装(包含壁装;落地式支架安装;桌面式支架安装;闸机安装;86盒；)</w:t>
      </w:r>
    </w:p>
    <w:p>
      <w:pPr>
        <w:pStyle w:val="6"/>
        <w:numPr>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37</w:t>
      </w:r>
      <w:r>
        <w:rPr>
          <w:rFonts w:hint="eastAsia" w:ascii="仿宋" w:hAnsi="仿宋" w:eastAsia="仿宋" w:cs="仿宋"/>
          <w:sz w:val="28"/>
          <w:szCs w:val="28"/>
          <w:lang w:eastAsia="zh-CN"/>
        </w:rPr>
        <w:t>）</w:t>
      </w:r>
      <w:r>
        <w:rPr>
          <w:rFonts w:hint="eastAsia" w:ascii="仿宋" w:hAnsi="仿宋" w:eastAsia="仿宋" w:cs="仿宋"/>
          <w:sz w:val="28"/>
          <w:szCs w:val="28"/>
        </w:rPr>
        <w:t>读卡类型：IC卡</w:t>
      </w:r>
    </w:p>
    <w:p>
      <w:pPr>
        <w:widowControl/>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（须提供公安部所属检验机构出具的检测报告复印件并加盖制造商鲜章证明）</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人脸识别采集器</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人脸识别系统软件</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门禁专用电源</w:t>
      </w:r>
    </w:p>
    <w:p>
      <w:pPr>
        <w:rPr>
          <w:rFonts w:hint="eastAsia" w:ascii="仿宋" w:hAnsi="仿宋" w:eastAsia="仿宋" w:cs="仿宋"/>
          <w:sz w:val="28"/>
          <w:szCs w:val="28"/>
        </w:rPr>
      </w:pPr>
      <w:r>
        <w:rPr>
          <w:rFonts w:hint="eastAsia" w:ascii="仿宋" w:hAnsi="仿宋" w:eastAsia="仿宋" w:cs="仿宋"/>
          <w:sz w:val="28"/>
          <w:szCs w:val="28"/>
        </w:rPr>
        <w:t>五、网络交换机：接口数≥16</w:t>
      </w:r>
    </w:p>
    <w:p>
      <w:pPr>
        <w:rPr>
          <w:rFonts w:hint="eastAsia" w:ascii="仿宋" w:hAnsi="仿宋" w:eastAsia="仿宋" w:cs="仿宋"/>
          <w:sz w:val="28"/>
          <w:szCs w:val="28"/>
        </w:rPr>
      </w:pPr>
      <w:r>
        <w:rPr>
          <w:rFonts w:hint="eastAsia" w:ascii="仿宋" w:hAnsi="仿宋" w:eastAsia="仿宋" w:cs="仿宋"/>
          <w:sz w:val="28"/>
          <w:szCs w:val="28"/>
        </w:rPr>
        <w:t>六、磁力锁：承受拉力≥280KG</w:t>
      </w:r>
    </w:p>
    <w:p>
      <w:pPr>
        <w:rPr>
          <w:rFonts w:hint="eastAsia" w:ascii="仿宋" w:hAnsi="仿宋" w:eastAsia="仿宋" w:cs="仿宋"/>
          <w:sz w:val="28"/>
          <w:szCs w:val="28"/>
        </w:rPr>
      </w:pPr>
      <w:r>
        <w:rPr>
          <w:rFonts w:hint="eastAsia" w:ascii="仿宋" w:hAnsi="仿宋" w:eastAsia="仿宋" w:cs="仿宋"/>
          <w:sz w:val="28"/>
          <w:szCs w:val="28"/>
        </w:rPr>
        <w:t>七、自动闭门器：可自动开启和关闭，并可设置常开模式</w:t>
      </w:r>
    </w:p>
    <w:p>
      <w:pPr>
        <w:rPr>
          <w:rFonts w:hint="eastAsia" w:ascii="仿宋" w:hAnsi="仿宋" w:eastAsia="仿宋" w:cs="仿宋"/>
          <w:sz w:val="28"/>
          <w:szCs w:val="28"/>
        </w:rPr>
      </w:pPr>
      <w:r>
        <w:rPr>
          <w:rFonts w:hint="eastAsia" w:ascii="仿宋" w:hAnsi="仿宋" w:eastAsia="仿宋" w:cs="仿宋"/>
          <w:sz w:val="28"/>
          <w:szCs w:val="28"/>
        </w:rPr>
        <w:t>八、闭门器</w:t>
      </w:r>
    </w:p>
    <w:p>
      <w:pPr>
        <w:rPr>
          <w:rFonts w:hint="eastAsia" w:ascii="仿宋" w:hAnsi="仿宋" w:eastAsia="仿宋" w:cs="仿宋"/>
          <w:sz w:val="28"/>
          <w:szCs w:val="28"/>
        </w:rPr>
      </w:pPr>
      <w:r>
        <w:rPr>
          <w:rFonts w:hint="eastAsia" w:ascii="仿宋" w:hAnsi="仿宋" w:eastAsia="仿宋" w:cs="仿宋"/>
          <w:sz w:val="28"/>
          <w:szCs w:val="28"/>
        </w:rPr>
        <w:t>需求清单：</w:t>
      </w:r>
    </w:p>
    <w:tbl>
      <w:tblPr>
        <w:tblStyle w:val="12"/>
        <w:tblpPr w:leftFromText="180" w:rightFromText="180" w:vertAnchor="text" w:horzAnchor="page" w:tblpXSpec="center" w:tblpY="402"/>
        <w:tblOverlap w:val="never"/>
        <w:tblW w:w="8141" w:type="dxa"/>
        <w:tblInd w:w="0" w:type="dxa"/>
        <w:tblLayout w:type="fixed"/>
        <w:tblCellMar>
          <w:top w:w="0" w:type="dxa"/>
          <w:left w:w="108" w:type="dxa"/>
          <w:bottom w:w="0" w:type="dxa"/>
          <w:right w:w="108" w:type="dxa"/>
        </w:tblCellMar>
      </w:tblPr>
      <w:tblGrid>
        <w:gridCol w:w="1760"/>
        <w:gridCol w:w="2855"/>
        <w:gridCol w:w="1997"/>
        <w:gridCol w:w="1529"/>
      </w:tblGrid>
      <w:tr>
        <w:tblPrEx>
          <w:tblCellMar>
            <w:top w:w="0" w:type="dxa"/>
            <w:left w:w="108" w:type="dxa"/>
            <w:bottom w:w="0" w:type="dxa"/>
            <w:right w:w="108" w:type="dxa"/>
          </w:tblCellMar>
        </w:tblPrEx>
        <w:trPr>
          <w:trHeight w:val="364"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序号</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分项名称</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数量</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单位</w:t>
            </w:r>
          </w:p>
        </w:tc>
      </w:tr>
      <w:tr>
        <w:tblPrEx>
          <w:tblCellMar>
            <w:top w:w="0" w:type="dxa"/>
            <w:left w:w="108" w:type="dxa"/>
            <w:bottom w:w="0" w:type="dxa"/>
            <w:right w:w="108" w:type="dxa"/>
          </w:tblCellMar>
        </w:tblPrEx>
        <w:trPr>
          <w:trHeight w:val="364"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人脸识别主机</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sz w:val="20"/>
              </w:rPr>
              <w:t>套</w:t>
            </w:r>
          </w:p>
        </w:tc>
      </w:tr>
      <w:tr>
        <w:tblPrEx>
          <w:tblCellMar>
            <w:top w:w="0" w:type="dxa"/>
            <w:left w:w="108" w:type="dxa"/>
            <w:bottom w:w="0" w:type="dxa"/>
            <w:right w:w="108" w:type="dxa"/>
          </w:tblCellMar>
        </w:tblPrEx>
        <w:trPr>
          <w:trHeight w:val="364"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2</w:t>
            </w:r>
          </w:p>
        </w:tc>
        <w:tc>
          <w:tcPr>
            <w:tcW w:w="2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人脸识别采集器</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个</w:t>
            </w:r>
          </w:p>
        </w:tc>
      </w:tr>
      <w:tr>
        <w:tblPrEx>
          <w:tblCellMar>
            <w:top w:w="0" w:type="dxa"/>
            <w:left w:w="108" w:type="dxa"/>
            <w:bottom w:w="0" w:type="dxa"/>
            <w:right w:w="108" w:type="dxa"/>
          </w:tblCellMar>
        </w:tblPrEx>
        <w:trPr>
          <w:trHeight w:val="364"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3</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人脸识别系统软件</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套</w:t>
            </w:r>
          </w:p>
        </w:tc>
      </w:tr>
      <w:tr>
        <w:tblPrEx>
          <w:tblCellMar>
            <w:top w:w="0" w:type="dxa"/>
            <w:left w:w="108" w:type="dxa"/>
            <w:bottom w:w="0" w:type="dxa"/>
            <w:right w:w="108" w:type="dxa"/>
          </w:tblCellMar>
        </w:tblPrEx>
        <w:trPr>
          <w:trHeight w:val="364"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4</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门禁专用电源</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14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个</w:t>
            </w:r>
          </w:p>
        </w:tc>
      </w:tr>
      <w:tr>
        <w:tblPrEx>
          <w:tblCellMar>
            <w:top w:w="0" w:type="dxa"/>
            <w:left w:w="108" w:type="dxa"/>
            <w:bottom w:w="0" w:type="dxa"/>
            <w:right w:w="108" w:type="dxa"/>
          </w:tblCellMar>
        </w:tblPrEx>
        <w:trPr>
          <w:trHeight w:val="364"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5</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网络交换机</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个</w:t>
            </w:r>
          </w:p>
        </w:tc>
      </w:tr>
      <w:tr>
        <w:tblPrEx>
          <w:tblCellMar>
            <w:top w:w="0" w:type="dxa"/>
            <w:left w:w="108" w:type="dxa"/>
            <w:bottom w:w="0" w:type="dxa"/>
            <w:right w:w="108" w:type="dxa"/>
          </w:tblCellMar>
        </w:tblPrEx>
        <w:trPr>
          <w:trHeight w:val="364"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0"/>
              </w:rPr>
            </w:pPr>
            <w:r>
              <w:rPr>
                <w:rFonts w:hint="eastAsia" w:ascii="仿宋_GB2312" w:hAnsi="宋体" w:eastAsia="仿宋_GB2312" w:cs="宋体"/>
                <w:color w:val="000000"/>
                <w:sz w:val="20"/>
              </w:rPr>
              <w:t>6</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磁力锁</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14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0"/>
              </w:rPr>
            </w:pPr>
            <w:r>
              <w:rPr>
                <w:rFonts w:hint="eastAsia" w:ascii="仿宋_GB2312" w:hAnsi="宋体" w:eastAsia="仿宋_GB2312" w:cs="宋体"/>
                <w:color w:val="000000"/>
                <w:kern w:val="0"/>
                <w:sz w:val="20"/>
                <w:lang w:bidi="ar"/>
              </w:rPr>
              <w:t>付</w:t>
            </w:r>
          </w:p>
        </w:tc>
      </w:tr>
      <w:tr>
        <w:tblPrEx>
          <w:tblCellMar>
            <w:top w:w="0" w:type="dxa"/>
            <w:left w:w="108" w:type="dxa"/>
            <w:bottom w:w="0" w:type="dxa"/>
            <w:right w:w="108" w:type="dxa"/>
          </w:tblCellMar>
        </w:tblPrEx>
        <w:trPr>
          <w:trHeight w:val="364"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0"/>
              </w:rPr>
            </w:pPr>
            <w:r>
              <w:rPr>
                <w:rFonts w:hint="eastAsia" w:ascii="仿宋_GB2312" w:hAnsi="宋体" w:eastAsia="仿宋_GB2312" w:cs="宋体"/>
                <w:color w:val="000000"/>
                <w:sz w:val="20"/>
              </w:rPr>
              <w:t>7</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color w:val="000000"/>
                <w:kern w:val="0"/>
                <w:sz w:val="20"/>
                <w:lang w:bidi="ar"/>
              </w:rPr>
            </w:pPr>
            <w:r>
              <w:rPr>
                <w:rFonts w:hint="eastAsia" w:ascii="仿宋_GB2312" w:hAnsi="宋体" w:eastAsia="仿宋_GB2312" w:cs="宋体"/>
                <w:color w:val="000000"/>
                <w:kern w:val="0"/>
                <w:sz w:val="20"/>
                <w:lang w:bidi="ar"/>
              </w:rPr>
              <w:t>自动闭门器</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20"/>
                <w:lang w:bidi="ar"/>
              </w:rPr>
            </w:pPr>
            <w:r>
              <w:rPr>
                <w:rFonts w:hint="eastAsia" w:ascii="仿宋_GB2312" w:hAnsi="宋体" w:eastAsia="仿宋_GB2312" w:cs="宋体"/>
                <w:color w:val="000000"/>
                <w:kern w:val="0"/>
                <w:sz w:val="20"/>
                <w:lang w:bidi="ar"/>
              </w:rPr>
              <w:t>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20"/>
                <w:lang w:bidi="ar"/>
              </w:rPr>
            </w:pPr>
            <w:r>
              <w:rPr>
                <w:rFonts w:hint="eastAsia" w:ascii="仿宋_GB2312" w:hAnsi="宋体" w:eastAsia="仿宋_GB2312" w:cs="宋体"/>
                <w:color w:val="000000"/>
                <w:kern w:val="0"/>
                <w:sz w:val="20"/>
                <w:lang w:bidi="ar"/>
              </w:rPr>
              <w:t>套</w:t>
            </w:r>
          </w:p>
        </w:tc>
      </w:tr>
      <w:tr>
        <w:tblPrEx>
          <w:tblCellMar>
            <w:top w:w="0" w:type="dxa"/>
            <w:left w:w="108" w:type="dxa"/>
            <w:bottom w:w="0" w:type="dxa"/>
            <w:right w:w="108" w:type="dxa"/>
          </w:tblCellMar>
        </w:tblPrEx>
        <w:trPr>
          <w:trHeight w:val="364"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0"/>
              </w:rPr>
            </w:pPr>
            <w:r>
              <w:rPr>
                <w:rFonts w:hint="eastAsia" w:ascii="仿宋_GB2312" w:hAnsi="宋体" w:eastAsia="仿宋_GB2312" w:cs="宋体"/>
                <w:color w:val="000000"/>
                <w:sz w:val="20"/>
              </w:rPr>
              <w:t>8</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color w:val="000000"/>
                <w:kern w:val="0"/>
                <w:sz w:val="20"/>
                <w:lang w:bidi="ar"/>
              </w:rPr>
            </w:pPr>
            <w:r>
              <w:rPr>
                <w:rFonts w:hint="eastAsia" w:ascii="仿宋_GB2312" w:hAnsi="宋体" w:eastAsia="仿宋_GB2312" w:cs="宋体"/>
                <w:color w:val="000000"/>
                <w:kern w:val="0"/>
                <w:sz w:val="20"/>
                <w:lang w:bidi="ar"/>
              </w:rPr>
              <w:t>闭门器</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20"/>
                <w:lang w:bidi="ar"/>
              </w:rPr>
            </w:pPr>
            <w:r>
              <w:rPr>
                <w:rFonts w:hint="eastAsia" w:ascii="仿宋_GB2312" w:hAnsi="宋体" w:eastAsia="仿宋_GB2312" w:cs="宋体"/>
                <w:color w:val="000000"/>
                <w:kern w:val="0"/>
                <w:sz w:val="20"/>
                <w:lang w:bidi="ar"/>
              </w:rPr>
              <w:t>1</w:t>
            </w:r>
            <w:r>
              <w:rPr>
                <w:rFonts w:ascii="仿宋_GB2312" w:hAnsi="宋体" w:eastAsia="仿宋_GB2312" w:cs="宋体"/>
                <w:color w:val="000000"/>
                <w:kern w:val="0"/>
                <w:sz w:val="20"/>
                <w:lang w:bidi="ar"/>
              </w:rPr>
              <w:t>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20"/>
                <w:lang w:bidi="ar"/>
              </w:rPr>
            </w:pPr>
            <w:r>
              <w:rPr>
                <w:rFonts w:hint="eastAsia" w:ascii="仿宋_GB2312" w:hAnsi="宋体" w:eastAsia="仿宋_GB2312" w:cs="宋体"/>
                <w:color w:val="000000"/>
                <w:kern w:val="0"/>
                <w:sz w:val="20"/>
                <w:lang w:bidi="ar"/>
              </w:rPr>
              <w:t>套</w:t>
            </w:r>
          </w:p>
        </w:tc>
      </w:tr>
    </w:tbl>
    <w:p>
      <w:pPr>
        <w:pStyle w:val="6"/>
        <w:spacing w:line="360" w:lineRule="auto"/>
        <w:rPr>
          <w:rFonts w:hint="eastAsia" w:ascii="仿宋" w:hAnsi="仿宋" w:eastAsia="仿宋"/>
          <w:color w:val="000000"/>
          <w:sz w:val="27"/>
          <w:szCs w:val="27"/>
        </w:rPr>
      </w:pPr>
    </w:p>
    <w:p>
      <w:pPr>
        <w:pStyle w:val="6"/>
        <w:spacing w:line="360" w:lineRule="auto"/>
        <w:rPr>
          <w:rFonts w:ascii="仿宋" w:hAnsi="仿宋" w:eastAsia="仿宋" w:cs="仿宋"/>
          <w:b/>
          <w:spacing w:val="1"/>
          <w:sz w:val="28"/>
          <w:highlight w:val="none"/>
        </w:rPr>
      </w:pPr>
      <w:r>
        <w:rPr>
          <w:rFonts w:hint="eastAsia" w:ascii="仿宋" w:hAnsi="仿宋" w:eastAsia="仿宋"/>
          <w:color w:val="000000"/>
          <w:sz w:val="27"/>
          <w:szCs w:val="27"/>
        </w:rPr>
        <w:t>★</w:t>
      </w:r>
      <w:r>
        <w:rPr>
          <w:rFonts w:hint="eastAsia" w:ascii="仿宋" w:hAnsi="仿宋" w:eastAsia="仿宋" w:cs="仿宋"/>
          <w:b/>
          <w:spacing w:val="1"/>
          <w:sz w:val="28"/>
          <w:highlight w:val="none"/>
        </w:rPr>
        <w:t>5.</w:t>
      </w:r>
      <w:r>
        <w:rPr>
          <w:rFonts w:ascii="仿宋" w:hAnsi="仿宋" w:eastAsia="仿宋" w:cs="仿宋"/>
          <w:b/>
          <w:spacing w:val="1"/>
          <w:sz w:val="28"/>
          <w:highlight w:val="none"/>
        </w:rPr>
        <w:t>3</w:t>
      </w:r>
      <w:r>
        <w:rPr>
          <w:rFonts w:hint="eastAsia" w:ascii="仿宋" w:hAnsi="仿宋" w:eastAsia="仿宋" w:cs="仿宋"/>
          <w:b/>
          <w:spacing w:val="1"/>
          <w:sz w:val="28"/>
          <w:highlight w:val="none"/>
        </w:rPr>
        <w:t xml:space="preserve"> 商务要求</w:t>
      </w:r>
    </w:p>
    <w:p>
      <w:pPr>
        <w:pStyle w:val="6"/>
        <w:spacing w:line="360" w:lineRule="auto"/>
        <w:rPr>
          <w:rFonts w:ascii="仿宋" w:hAnsi="仿宋" w:eastAsia="仿宋" w:cs="仿宋"/>
          <w:b/>
          <w:spacing w:val="1"/>
          <w:sz w:val="28"/>
          <w:highlight w:val="none"/>
        </w:rPr>
      </w:pPr>
      <w:r>
        <w:rPr>
          <w:rFonts w:hint="eastAsia" w:ascii="仿宋" w:hAnsi="仿宋" w:eastAsia="仿宋"/>
          <w:color w:val="000000"/>
          <w:sz w:val="28"/>
          <w:szCs w:val="27"/>
          <w:highlight w:val="none"/>
        </w:rPr>
        <w:t>5.3.1付款方式：合同签订生效后，甲方收到乙方履约保证金付款凭证和等额发票后15个工作日内支付中标金额的30%款项；全部设备安装调试完成并验收合格后，甲方收到乙方等额发票后15个工作日内支付中标金额的70%款项。</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5.3.2履约保证金：乙方在合同签订后5个工作日内向甲方支付合同金额的10%的款项作为履约保证金。全部货物安装调试完毕并验收合格满一年后，甲方在接到乙方请款报告后15个工作日内一次性全额无息退还；乙方履约不合格的，履约保证金不予退还。。</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5.3.3交货时间：合同签订后</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日内，成交供应商须将所有货物运抵现场安装调试完毕并交付采购人验收，具体时间可由双方在合同中约定。</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5.3.4由于成交供应商不能交付货物或逾期交付货物而违约的，除应及时交足货物外，应向甲方偿付逾期交货部分货款总额的千分之三/天的违约金；逾期交货超过</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天，甲方有权终止合同，履约保证金不予退还，并须全额退还甲方已经付给乙方的货款及支付累计逾期违约金。</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5.3.5交货地点：四川省精神医学中心。</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5.3.6售后服务（售后服务涉及费用均包含在</w:t>
      </w:r>
      <w:r>
        <w:rPr>
          <w:rFonts w:hint="eastAsia" w:ascii="仿宋" w:hAnsi="仿宋" w:eastAsia="仿宋"/>
          <w:color w:val="000000"/>
          <w:sz w:val="28"/>
          <w:szCs w:val="27"/>
          <w:highlight w:val="none"/>
          <w:lang w:eastAsia="zh-CN"/>
        </w:rPr>
        <w:t>供应商</w:t>
      </w:r>
      <w:r>
        <w:rPr>
          <w:rFonts w:hint="eastAsia" w:ascii="仿宋" w:hAnsi="仿宋" w:eastAsia="仿宋"/>
          <w:color w:val="000000"/>
          <w:sz w:val="28"/>
          <w:szCs w:val="27"/>
          <w:highlight w:val="none"/>
        </w:rPr>
        <w:t>的投标报价中）：</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a.送货上门、安装、调试，并试运行。</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b.提供培训。保证受训人员能熟练操作，并对该设备能进行日常维护，如未达到，医院有权延后支付合同所约定之付款。</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c.如货物在质保期内出现质量问题，</w:t>
      </w:r>
      <w:r>
        <w:rPr>
          <w:rFonts w:hint="eastAsia" w:ascii="仿宋" w:hAnsi="仿宋" w:eastAsia="仿宋"/>
          <w:color w:val="000000"/>
          <w:sz w:val="28"/>
          <w:szCs w:val="27"/>
          <w:highlight w:val="none"/>
          <w:lang w:eastAsia="zh-CN"/>
        </w:rPr>
        <w:t>供应商</w:t>
      </w:r>
      <w:r>
        <w:rPr>
          <w:rFonts w:hint="eastAsia" w:ascii="仿宋" w:hAnsi="仿宋" w:eastAsia="仿宋"/>
          <w:color w:val="000000"/>
          <w:sz w:val="28"/>
          <w:szCs w:val="27"/>
          <w:highlight w:val="none"/>
        </w:rPr>
        <w:t>须在接到通知后2 小时内响应，24 小时内到场维修，或以合同约定为准，并承担相关费用；如质保期内货物经</w:t>
      </w:r>
      <w:r>
        <w:rPr>
          <w:rFonts w:hint="eastAsia" w:ascii="仿宋" w:hAnsi="仿宋" w:eastAsia="仿宋"/>
          <w:color w:val="000000"/>
          <w:sz w:val="28"/>
          <w:szCs w:val="27"/>
          <w:highlight w:val="none"/>
          <w:lang w:eastAsia="zh-CN"/>
        </w:rPr>
        <w:t>供应商</w:t>
      </w:r>
      <w:r>
        <w:rPr>
          <w:rFonts w:hint="eastAsia" w:ascii="仿宋" w:hAnsi="仿宋" w:eastAsia="仿宋"/>
          <w:color w:val="000000"/>
          <w:sz w:val="28"/>
          <w:szCs w:val="27"/>
          <w:highlight w:val="none"/>
        </w:rPr>
        <w:t>两次维修仍不能达到国家相关质量标准，采购人有权更换全新货物、退货并追究</w:t>
      </w:r>
      <w:r>
        <w:rPr>
          <w:rFonts w:hint="eastAsia" w:ascii="仿宋" w:hAnsi="仿宋" w:eastAsia="仿宋"/>
          <w:color w:val="000000"/>
          <w:sz w:val="28"/>
          <w:szCs w:val="27"/>
          <w:highlight w:val="none"/>
          <w:lang w:eastAsia="zh-CN"/>
        </w:rPr>
        <w:t>供应商</w:t>
      </w:r>
      <w:r>
        <w:rPr>
          <w:rFonts w:hint="eastAsia" w:ascii="仿宋" w:hAnsi="仿宋" w:eastAsia="仿宋"/>
          <w:color w:val="000000"/>
          <w:sz w:val="28"/>
          <w:szCs w:val="27"/>
          <w:highlight w:val="none"/>
        </w:rPr>
        <w:t>违约责任。</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d.维修期间，根据采购人需要，提供备用设备。</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e.质保期不低于3年（合同签订后采购人出具验收报告之日起），范围：整机含所有部件（质保期内涉及维修、产品更换、人工费用等一切费用包含在此次报价中）。</w:t>
      </w:r>
    </w:p>
    <w:p>
      <w:pPr>
        <w:pStyle w:val="11"/>
        <w:ind w:firstLine="280"/>
        <w:rPr>
          <w:rFonts w:ascii="仿宋" w:hAnsi="仿宋" w:eastAsia="仿宋" w:cs="仿宋"/>
          <w:spacing w:val="1"/>
          <w:sz w:val="28"/>
          <w:highlight w:val="none"/>
        </w:rPr>
      </w:pPr>
      <w:r>
        <w:rPr>
          <w:rFonts w:hint="eastAsia" w:ascii="仿宋" w:hAnsi="仿宋" w:eastAsia="仿宋"/>
          <w:color w:val="000000"/>
          <w:sz w:val="28"/>
          <w:szCs w:val="27"/>
          <w:highlight w:val="none"/>
        </w:rPr>
        <w:t>5.3.7验收：成交供应商与采购人将严格按照《财政部关于进一步加强政府采购需求和履约验收管理的指导意见》(财库〔2016〕205号)的要求与各设备验收内容及标准进行验收。</w:t>
      </w:r>
    </w:p>
    <w:p>
      <w:pPr>
        <w:pStyle w:val="6"/>
        <w:spacing w:line="360" w:lineRule="auto"/>
        <w:rPr>
          <w:rFonts w:ascii="仿宋" w:hAnsi="仿宋" w:eastAsia="仿宋" w:cs="仿宋"/>
          <w:b/>
          <w:spacing w:val="1"/>
          <w:sz w:val="28"/>
        </w:rPr>
      </w:pPr>
      <w:r>
        <w:rPr>
          <w:rFonts w:ascii="仿宋" w:hAnsi="仿宋" w:eastAsia="仿宋" w:cs="仿宋"/>
          <w:b/>
          <w:spacing w:val="1"/>
          <w:sz w:val="28"/>
        </w:rPr>
        <w:t>5.3.5.</w:t>
      </w:r>
      <w:r>
        <w:rPr>
          <w:rFonts w:hint="eastAsia" w:ascii="仿宋" w:hAnsi="仿宋" w:eastAsia="仿宋" w:cs="仿宋"/>
          <w:b/>
          <w:spacing w:val="1"/>
          <w:sz w:val="28"/>
        </w:rPr>
        <w:t>安装调试</w:t>
      </w:r>
    </w:p>
    <w:p>
      <w:pPr>
        <w:pStyle w:val="6"/>
        <w:spacing w:line="360" w:lineRule="auto"/>
        <w:rPr>
          <w:rFonts w:ascii="仿宋" w:hAnsi="仿宋" w:eastAsia="仿宋" w:cs="仿宋"/>
          <w:spacing w:val="1"/>
          <w:sz w:val="28"/>
        </w:rPr>
      </w:pPr>
      <w:r>
        <w:rPr>
          <w:rFonts w:hint="eastAsia" w:ascii="仿宋" w:hAnsi="仿宋" w:eastAsia="仿宋" w:cs="仿宋"/>
          <w:spacing w:val="1"/>
          <w:sz w:val="28"/>
        </w:rPr>
        <w:t>（1）免费送货上门、安装、调试，并试运行。</w:t>
      </w:r>
    </w:p>
    <w:p>
      <w:pPr>
        <w:pStyle w:val="6"/>
        <w:spacing w:line="360" w:lineRule="auto"/>
        <w:rPr>
          <w:rFonts w:ascii="仿宋" w:hAnsi="仿宋" w:eastAsia="仿宋" w:cs="仿宋"/>
          <w:spacing w:val="1"/>
          <w:sz w:val="28"/>
        </w:rPr>
      </w:pPr>
      <w:r>
        <w:rPr>
          <w:rFonts w:hint="eastAsia" w:ascii="仿宋" w:hAnsi="仿宋" w:eastAsia="仿宋" w:cs="仿宋"/>
          <w:spacing w:val="1"/>
          <w:sz w:val="28"/>
        </w:rPr>
        <w:t>（2）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6"/>
        <w:spacing w:line="360" w:lineRule="auto"/>
        <w:rPr>
          <w:rFonts w:ascii="仿宋" w:hAnsi="仿宋" w:eastAsia="仿宋" w:cs="仿宋"/>
          <w:spacing w:val="1"/>
          <w:sz w:val="28"/>
        </w:rPr>
      </w:pPr>
      <w:r>
        <w:rPr>
          <w:rFonts w:hint="eastAsia" w:ascii="仿宋" w:hAnsi="仿宋" w:eastAsia="仿宋" w:cs="仿宋"/>
          <w:spacing w:val="1"/>
          <w:sz w:val="28"/>
        </w:rPr>
        <w:t>（3）设备的拆箱、安装、通电、调试等项工作由中标单位负责，但必须在采购人指定人员参与下进行。</w:t>
      </w:r>
    </w:p>
    <w:p>
      <w:pPr>
        <w:pStyle w:val="6"/>
        <w:spacing w:line="360" w:lineRule="auto"/>
        <w:rPr>
          <w:rFonts w:ascii="仿宋" w:hAnsi="仿宋" w:eastAsia="仿宋" w:cs="仿宋"/>
          <w:spacing w:val="1"/>
          <w:sz w:val="28"/>
        </w:rPr>
      </w:pPr>
      <w:r>
        <w:rPr>
          <w:rFonts w:hint="eastAsia" w:ascii="仿宋" w:hAnsi="仿宋" w:eastAsia="仿宋" w:cs="仿宋"/>
          <w:spacing w:val="1"/>
          <w:sz w:val="28"/>
        </w:rPr>
        <w:t>（4）调试：按国家相关和行业规范进行调试。</w:t>
      </w:r>
    </w:p>
    <w:p>
      <w:pPr>
        <w:pStyle w:val="6"/>
        <w:spacing w:line="360" w:lineRule="auto"/>
        <w:rPr>
          <w:rFonts w:ascii="仿宋" w:hAnsi="仿宋" w:eastAsia="仿宋" w:cs="仿宋"/>
          <w:b/>
          <w:spacing w:val="1"/>
          <w:sz w:val="28"/>
        </w:rPr>
      </w:pPr>
      <w:r>
        <w:rPr>
          <w:rFonts w:ascii="仿宋" w:hAnsi="仿宋" w:eastAsia="仿宋" w:cs="仿宋"/>
          <w:b/>
          <w:spacing w:val="1"/>
          <w:sz w:val="28"/>
        </w:rPr>
        <w:t>5.3.6</w:t>
      </w:r>
      <w:r>
        <w:rPr>
          <w:rFonts w:hint="eastAsia" w:ascii="仿宋" w:hAnsi="仿宋" w:eastAsia="仿宋" w:cs="仿宋"/>
          <w:b/>
          <w:spacing w:val="1"/>
          <w:sz w:val="28"/>
        </w:rPr>
        <w:t>验收标准：</w:t>
      </w:r>
    </w:p>
    <w:p>
      <w:pPr>
        <w:pStyle w:val="6"/>
        <w:spacing w:line="360" w:lineRule="auto"/>
        <w:rPr>
          <w:rFonts w:ascii="仿宋" w:hAnsi="仿宋" w:eastAsia="仿宋" w:cs="仿宋"/>
          <w:spacing w:val="1"/>
          <w:sz w:val="28"/>
        </w:rPr>
      </w:pPr>
      <w:r>
        <w:rPr>
          <w:rFonts w:hint="eastAsia" w:ascii="仿宋" w:hAnsi="仿宋" w:eastAsia="仿宋" w:cs="仿宋"/>
          <w:spacing w:val="1"/>
          <w:sz w:val="28"/>
        </w:rPr>
        <w:t>（1）按国家有关规定、采购文件的技术参数、商务要求和供应商的响应文件及承诺以及合同约定标准进行验收。</w:t>
      </w:r>
    </w:p>
    <w:p>
      <w:pPr>
        <w:pStyle w:val="6"/>
        <w:spacing w:line="360" w:lineRule="auto"/>
        <w:rPr>
          <w:rFonts w:ascii="仿宋" w:hAnsi="仿宋" w:eastAsia="仿宋" w:cs="仿宋"/>
          <w:spacing w:val="1"/>
          <w:sz w:val="28"/>
        </w:rPr>
      </w:pPr>
      <w:r>
        <w:rPr>
          <w:rFonts w:hint="eastAsia" w:ascii="仿宋" w:hAnsi="仿宋" w:eastAsia="仿宋" w:cs="仿宋"/>
          <w:spacing w:val="1"/>
          <w:sz w:val="28"/>
        </w:rPr>
        <w:t>（2）按照《财政部关于进一步加强政府采购需求和履行验收管理的指导意见》（财库〔2016〕205号）的要求进行验收。</w:t>
      </w:r>
    </w:p>
    <w:p>
      <w:pPr>
        <w:pStyle w:val="6"/>
        <w:spacing w:line="360" w:lineRule="auto"/>
        <w:rPr>
          <w:rFonts w:ascii="仿宋" w:hAnsi="仿宋" w:eastAsia="仿宋" w:cs="仿宋"/>
          <w:spacing w:val="1"/>
          <w:sz w:val="28"/>
        </w:rPr>
      </w:pPr>
      <w:r>
        <w:rPr>
          <w:rFonts w:ascii="仿宋" w:hAnsi="仿宋" w:eastAsia="仿宋" w:cs="仿宋"/>
          <w:b/>
          <w:spacing w:val="1"/>
          <w:sz w:val="28"/>
        </w:rPr>
        <w:t>5.3.7</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中标单位需在中标后承诺在日常工作产生的安全责任问题由中标单位自行负责（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6"/>
        <w:spacing w:line="360" w:lineRule="auto"/>
        <w:rPr>
          <w:rFonts w:ascii="仿宋" w:hAnsi="仿宋" w:eastAsia="仿宋" w:cs="仿宋"/>
          <w:b/>
          <w:spacing w:val="1"/>
          <w:sz w:val="28"/>
        </w:rPr>
      </w:pPr>
      <w:r>
        <w:rPr>
          <w:rFonts w:ascii="仿宋" w:hAnsi="仿宋" w:eastAsia="仿宋" w:cs="仿宋"/>
          <w:b/>
          <w:spacing w:val="1"/>
          <w:sz w:val="28"/>
        </w:rPr>
        <w:t>5.3.8</w:t>
      </w:r>
      <w:r>
        <w:rPr>
          <w:rFonts w:hint="eastAsia" w:ascii="仿宋" w:hAnsi="仿宋" w:eastAsia="仿宋" w:cs="仿宋"/>
          <w:b/>
          <w:spacing w:val="1"/>
          <w:sz w:val="28"/>
        </w:rPr>
        <w:t>售后服务：</w:t>
      </w:r>
    </w:p>
    <w:p>
      <w:pPr>
        <w:pStyle w:val="6"/>
        <w:spacing w:line="360" w:lineRule="auto"/>
        <w:rPr>
          <w:rFonts w:ascii="仿宋" w:hAnsi="仿宋" w:eastAsia="仿宋" w:cs="仿宋"/>
          <w:spacing w:val="1"/>
          <w:sz w:val="28"/>
        </w:rPr>
      </w:pPr>
      <w:r>
        <w:rPr>
          <w:rFonts w:hint="eastAsia" w:ascii="仿宋" w:hAnsi="仿宋" w:eastAsia="仿宋" w:cs="仿宋"/>
          <w:spacing w:val="1"/>
          <w:sz w:val="28"/>
        </w:rPr>
        <w:t>（1）提供有关资料及售后服务承诺。</w:t>
      </w:r>
    </w:p>
    <w:p>
      <w:pPr>
        <w:pStyle w:val="6"/>
        <w:spacing w:line="360" w:lineRule="auto"/>
        <w:rPr>
          <w:rFonts w:ascii="仿宋" w:hAnsi="仿宋" w:eastAsia="仿宋" w:cs="仿宋"/>
          <w:spacing w:val="1"/>
          <w:sz w:val="28"/>
        </w:rPr>
      </w:pPr>
      <w:r>
        <w:rPr>
          <w:rFonts w:hint="eastAsia" w:ascii="仿宋" w:hAnsi="仿宋" w:eastAsia="仿宋" w:cs="仿宋"/>
          <w:spacing w:val="1"/>
          <w:sz w:val="28"/>
        </w:rPr>
        <w:t xml:space="preserve">（2）质保期内供应商应免费负责产品维护、维修及抢修在质保期内设置 7×24 小时技术支持热线电话（固话、手机）。如 2 小时内无法电话解决问题，供应商维修工程师必须在接到故障报告后 </w:t>
      </w:r>
      <w:r>
        <w:rPr>
          <w:rFonts w:ascii="仿宋" w:hAnsi="仿宋" w:eastAsia="仿宋" w:cs="仿宋"/>
          <w:spacing w:val="1"/>
          <w:sz w:val="28"/>
        </w:rPr>
        <w:t>24</w:t>
      </w:r>
      <w:r>
        <w:rPr>
          <w:rFonts w:hint="eastAsia" w:ascii="仿宋" w:hAnsi="仿宋" w:eastAsia="仿宋" w:cs="仿宋"/>
          <w:spacing w:val="1"/>
          <w:sz w:val="28"/>
        </w:rPr>
        <w:t>小时内到达采购人现场修理和更换零件，费用（包括材料）由供应商承担。</w:t>
      </w:r>
    </w:p>
    <w:p>
      <w:pPr>
        <w:pStyle w:val="6"/>
        <w:spacing w:line="360" w:lineRule="auto"/>
        <w:rPr>
          <w:rFonts w:ascii="仿宋" w:hAnsi="仿宋" w:eastAsia="仿宋" w:cs="仿宋"/>
          <w:spacing w:val="1"/>
          <w:sz w:val="28"/>
        </w:rPr>
      </w:pPr>
      <w:r>
        <w:rPr>
          <w:rFonts w:hint="eastAsia" w:ascii="仿宋" w:hAnsi="仿宋" w:eastAsia="仿宋" w:cs="仿宋"/>
          <w:spacing w:val="1"/>
          <w:sz w:val="28"/>
        </w:rPr>
        <w:t>（3）质保期后，应加强设备巡检，供应商应向采购人提供及时的、优质的、价格优惠的技术服务和备品备件供应。</w:t>
      </w:r>
    </w:p>
    <w:p>
      <w:pPr>
        <w:pStyle w:val="6"/>
        <w:spacing w:line="360" w:lineRule="auto"/>
        <w:rPr>
          <w:rFonts w:ascii="仿宋" w:hAnsi="仿宋" w:eastAsia="仿宋" w:cs="仿宋"/>
          <w:spacing w:val="1"/>
          <w:sz w:val="28"/>
        </w:rPr>
      </w:pPr>
      <w:r>
        <w:rPr>
          <w:rFonts w:hint="eastAsia" w:ascii="仿宋" w:hAnsi="仿宋" w:eastAsia="仿宋" w:cs="仿宋"/>
          <w:spacing w:val="1"/>
          <w:sz w:val="28"/>
        </w:rPr>
        <w:t>（4）有零部件储备仓库，能及时提供配件，可保证维修速度及质量。</w:t>
      </w:r>
    </w:p>
    <w:p>
      <w:pPr>
        <w:pStyle w:val="6"/>
        <w:spacing w:line="360" w:lineRule="auto"/>
        <w:rPr>
          <w:rFonts w:ascii="仿宋" w:hAnsi="仿宋" w:eastAsia="仿宋" w:cs="仿宋"/>
          <w:spacing w:val="1"/>
          <w:sz w:val="28"/>
        </w:rPr>
      </w:pPr>
      <w:r>
        <w:rPr>
          <w:rFonts w:hint="eastAsia" w:ascii="仿宋" w:hAnsi="仿宋" w:eastAsia="仿宋" w:cs="仿宋"/>
          <w:spacing w:val="1"/>
          <w:sz w:val="28"/>
        </w:rPr>
        <w:t>（5）对相关操作人员进行培训，能熟练操作、进行简单的故障处理。</w:t>
      </w:r>
    </w:p>
    <w:p>
      <w:pPr>
        <w:pStyle w:val="6"/>
        <w:spacing w:line="360" w:lineRule="auto"/>
        <w:rPr>
          <w:rFonts w:ascii="仿宋" w:hAnsi="仿宋" w:eastAsia="仿宋" w:cs="仿宋"/>
          <w:spacing w:val="1"/>
          <w:sz w:val="28"/>
        </w:rPr>
      </w:pPr>
      <w:r>
        <w:rPr>
          <w:rFonts w:hint="eastAsia" w:ascii="仿宋" w:hAnsi="仿宋" w:eastAsia="仿宋" w:cs="仿宋"/>
          <w:spacing w:val="1"/>
          <w:sz w:val="28"/>
        </w:rPr>
        <w:t>（6）随机资料：提供纸质中文操作使用手册和维修手册。</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2"/>
        <w:tblpPr w:leftFromText="180" w:rightFromText="180" w:vertAnchor="text" w:horzAnchor="page" w:tblpX="1833" w:tblpY="616"/>
        <w:tblOverlap w:val="never"/>
        <w:tblW w:w="49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071"/>
        <w:gridCol w:w="849"/>
        <w:gridCol w:w="634"/>
        <w:gridCol w:w="3473"/>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trPr>
        <w:tc>
          <w:tcPr>
            <w:tcW w:w="295" w:type="pct"/>
            <w:vAlign w:val="center"/>
          </w:tcPr>
          <w:p>
            <w:pPr>
              <w:wordWrap w:val="0"/>
              <w:ind w:firstLine="28"/>
              <w:jc w:val="center"/>
              <w:rPr>
                <w:rFonts w:ascii="仿宋" w:hAnsi="仿宋" w:eastAsia="仿宋" w:cs="仿宋"/>
                <w:sz w:val="24"/>
              </w:rPr>
            </w:pPr>
            <w:r>
              <w:rPr>
                <w:rFonts w:hint="eastAsia" w:ascii="仿宋" w:hAnsi="仿宋" w:eastAsia="仿宋" w:cs="仿宋"/>
                <w:sz w:val="24"/>
              </w:rPr>
              <w:t>序号</w:t>
            </w:r>
          </w:p>
        </w:tc>
        <w:tc>
          <w:tcPr>
            <w:tcW w:w="637"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评分因素及权重</w:t>
            </w:r>
          </w:p>
        </w:tc>
        <w:tc>
          <w:tcPr>
            <w:tcW w:w="505"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评分指标</w:t>
            </w:r>
          </w:p>
        </w:tc>
        <w:tc>
          <w:tcPr>
            <w:tcW w:w="377" w:type="pct"/>
            <w:vAlign w:val="center"/>
          </w:tcPr>
          <w:p>
            <w:pPr>
              <w:wordWrap w:val="0"/>
              <w:ind w:firstLine="28"/>
              <w:jc w:val="center"/>
              <w:rPr>
                <w:rFonts w:ascii="仿宋" w:hAnsi="仿宋" w:eastAsia="仿宋" w:cs="仿宋"/>
                <w:sz w:val="24"/>
              </w:rPr>
            </w:pPr>
            <w:r>
              <w:rPr>
                <w:rFonts w:hint="eastAsia" w:ascii="仿宋" w:hAnsi="仿宋" w:eastAsia="仿宋" w:cs="仿宋"/>
                <w:sz w:val="24"/>
              </w:rPr>
              <w:t>分值</w:t>
            </w:r>
          </w:p>
        </w:tc>
        <w:tc>
          <w:tcPr>
            <w:tcW w:w="2065"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评分标准</w:t>
            </w:r>
          </w:p>
        </w:tc>
        <w:tc>
          <w:tcPr>
            <w:tcW w:w="1117" w:type="pct"/>
            <w:vAlign w:val="center"/>
          </w:tcPr>
          <w:p>
            <w:pPr>
              <w:wordWrap w:val="0"/>
              <w:jc w:val="center"/>
              <w:rPr>
                <w:rFonts w:ascii="仿宋" w:hAnsi="仿宋" w:eastAsia="仿宋" w:cs="仿宋"/>
                <w:sz w:val="24"/>
              </w:rPr>
            </w:pPr>
            <w:r>
              <w:rPr>
                <w:rFonts w:hint="eastAsia" w:ascii="仿宋" w:hAnsi="仿宋" w:eastAsia="仿宋" w:cs="仿宋"/>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95" w:type="pct"/>
            <w:vAlign w:val="center"/>
          </w:tcPr>
          <w:p>
            <w:pPr>
              <w:wordWrap w:val="0"/>
              <w:ind w:firstLine="28"/>
              <w:jc w:val="center"/>
              <w:rPr>
                <w:rFonts w:ascii="仿宋" w:hAnsi="仿宋" w:eastAsia="仿宋" w:cs="仿宋"/>
                <w:sz w:val="24"/>
              </w:rPr>
            </w:pPr>
            <w:r>
              <w:rPr>
                <w:rFonts w:hint="eastAsia" w:ascii="仿宋" w:hAnsi="仿宋" w:eastAsia="仿宋" w:cs="仿宋"/>
                <w:sz w:val="24"/>
              </w:rPr>
              <w:t>1</w:t>
            </w:r>
          </w:p>
        </w:tc>
        <w:tc>
          <w:tcPr>
            <w:tcW w:w="637" w:type="pct"/>
            <w:vAlign w:val="center"/>
          </w:tcPr>
          <w:p>
            <w:pPr>
              <w:wordWrap w:val="0"/>
              <w:ind w:firstLine="28"/>
              <w:jc w:val="center"/>
              <w:rPr>
                <w:rFonts w:ascii="仿宋" w:hAnsi="仿宋" w:eastAsia="仿宋" w:cs="仿宋"/>
                <w:sz w:val="24"/>
              </w:rPr>
            </w:pPr>
            <w:r>
              <w:rPr>
                <w:rFonts w:hint="eastAsia" w:ascii="仿宋" w:hAnsi="仿宋" w:eastAsia="仿宋" w:cs="仿宋"/>
                <w:sz w:val="24"/>
              </w:rPr>
              <w:t>报价部分</w:t>
            </w:r>
          </w:p>
          <w:p>
            <w:pPr>
              <w:wordWrap w:val="0"/>
              <w:ind w:firstLine="28"/>
              <w:jc w:val="center"/>
              <w:rPr>
                <w:rFonts w:ascii="仿宋" w:hAnsi="仿宋" w:eastAsia="仿宋" w:cs="仿宋"/>
                <w:sz w:val="24"/>
              </w:rPr>
            </w:pPr>
            <w:r>
              <w:rPr>
                <w:rFonts w:hint="eastAsia" w:ascii="仿宋" w:hAnsi="仿宋" w:eastAsia="仿宋" w:cs="仿宋"/>
                <w:sz w:val="24"/>
              </w:rPr>
              <w:t>30%（共同类评分因素）</w:t>
            </w:r>
          </w:p>
        </w:tc>
        <w:tc>
          <w:tcPr>
            <w:tcW w:w="505" w:type="pct"/>
            <w:vAlign w:val="center"/>
          </w:tcPr>
          <w:p>
            <w:pPr>
              <w:wordWrap w:val="0"/>
              <w:ind w:firstLine="28"/>
              <w:jc w:val="center"/>
              <w:rPr>
                <w:rFonts w:ascii="仿宋" w:hAnsi="仿宋" w:eastAsia="仿宋" w:cs="仿宋"/>
                <w:sz w:val="24"/>
              </w:rPr>
            </w:pPr>
            <w:r>
              <w:rPr>
                <w:rFonts w:hint="eastAsia" w:ascii="仿宋" w:hAnsi="仿宋" w:eastAsia="仿宋" w:cs="仿宋"/>
                <w:sz w:val="24"/>
              </w:rPr>
              <w:t>投标报价</w:t>
            </w:r>
          </w:p>
        </w:tc>
        <w:tc>
          <w:tcPr>
            <w:tcW w:w="377" w:type="pct"/>
            <w:vAlign w:val="center"/>
          </w:tcPr>
          <w:p>
            <w:pPr>
              <w:wordWrap w:val="0"/>
              <w:ind w:firstLine="28"/>
              <w:jc w:val="center"/>
              <w:rPr>
                <w:rFonts w:ascii="仿宋" w:hAnsi="仿宋" w:eastAsia="仿宋" w:cs="仿宋"/>
                <w:sz w:val="24"/>
              </w:rPr>
            </w:pPr>
            <w:r>
              <w:rPr>
                <w:rFonts w:hint="eastAsia" w:ascii="仿宋" w:hAnsi="仿宋" w:eastAsia="仿宋" w:cs="仿宋"/>
                <w:sz w:val="24"/>
              </w:rPr>
              <w:t>30分</w:t>
            </w:r>
          </w:p>
        </w:tc>
        <w:tc>
          <w:tcPr>
            <w:tcW w:w="2065" w:type="pct"/>
            <w:vAlign w:val="center"/>
          </w:tcPr>
          <w:p>
            <w:pPr>
              <w:wordWrap w:val="0"/>
              <w:rPr>
                <w:rFonts w:ascii="仿宋" w:hAnsi="仿宋" w:eastAsia="仿宋" w:cs="仿宋"/>
                <w:sz w:val="24"/>
              </w:rPr>
            </w:pPr>
            <w:r>
              <w:rPr>
                <w:rFonts w:hint="eastAsia" w:ascii="仿宋" w:hAnsi="仿宋" w:eastAsia="仿宋" w:cs="仿宋"/>
                <w:sz w:val="24"/>
              </w:rPr>
              <w:t>以本次有效供应商中最低评标价为基准价，得满分，投标报价得分=(基准价／评标价)×30。</w:t>
            </w:r>
          </w:p>
          <w:p>
            <w:pPr>
              <w:wordWrap w:val="0"/>
              <w:rPr>
                <w:rFonts w:ascii="仿宋" w:hAnsi="仿宋" w:eastAsia="仿宋" w:cs="仿宋"/>
                <w:sz w:val="24"/>
              </w:rPr>
            </w:pPr>
            <w:r>
              <w:rPr>
                <w:rFonts w:hint="eastAsia" w:ascii="仿宋" w:hAnsi="仿宋" w:eastAsia="仿宋" w:cs="仿宋"/>
                <w:sz w:val="24"/>
              </w:rPr>
              <w:t>注：</w:t>
            </w:r>
          </w:p>
          <w:p>
            <w:pPr>
              <w:wordWrap w:val="0"/>
              <w:rPr>
                <w:rFonts w:ascii="仿宋" w:hAnsi="仿宋" w:eastAsia="仿宋" w:cs="仿宋"/>
                <w:sz w:val="24"/>
              </w:rPr>
            </w:pPr>
            <w:r>
              <w:rPr>
                <w:rFonts w:hint="eastAsia" w:ascii="仿宋" w:hAnsi="仿宋" w:eastAsia="仿宋" w:cs="仿宋"/>
                <w:sz w:val="24"/>
              </w:rPr>
              <w:t>1、小微企业（监狱企业、残疾人福利性单位视同小微企业）价格扣除按照本招标文件投标须知前附表规定执行。</w:t>
            </w:r>
          </w:p>
        </w:tc>
        <w:tc>
          <w:tcPr>
            <w:tcW w:w="1117" w:type="pct"/>
            <w:vAlign w:val="center"/>
          </w:tcPr>
          <w:p>
            <w:pPr>
              <w:wordWrap w:val="0"/>
              <w:rPr>
                <w:rFonts w:ascii="仿宋" w:hAnsi="仿宋" w:eastAsia="仿宋" w:cs="仿宋"/>
                <w:sz w:val="24"/>
              </w:rPr>
            </w:pPr>
            <w:r>
              <w:rPr>
                <w:rFonts w:hint="eastAsia" w:ascii="仿宋" w:hAnsi="仿宋" w:eastAsia="仿宋" w:cs="仿宋"/>
                <w:sz w:val="24"/>
              </w:rPr>
              <w:t>以投标人提供的投标报价为准。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95" w:type="pct"/>
            <w:vAlign w:val="center"/>
          </w:tcPr>
          <w:p>
            <w:pPr>
              <w:wordWrap w:val="0"/>
              <w:ind w:firstLine="28"/>
              <w:jc w:val="center"/>
              <w:rPr>
                <w:rFonts w:ascii="仿宋" w:hAnsi="仿宋" w:eastAsia="仿宋" w:cs="仿宋"/>
                <w:sz w:val="24"/>
              </w:rPr>
            </w:pPr>
            <w:r>
              <w:rPr>
                <w:rFonts w:hint="eastAsia" w:ascii="仿宋" w:hAnsi="仿宋" w:eastAsia="仿宋" w:cs="仿宋"/>
                <w:sz w:val="24"/>
              </w:rPr>
              <w:t>2</w:t>
            </w:r>
          </w:p>
        </w:tc>
        <w:tc>
          <w:tcPr>
            <w:tcW w:w="637" w:type="pct"/>
            <w:vAlign w:val="center"/>
          </w:tcPr>
          <w:p>
            <w:pPr>
              <w:wordWrap w:val="0"/>
              <w:ind w:left="63" w:leftChars="30"/>
              <w:jc w:val="center"/>
              <w:rPr>
                <w:rFonts w:ascii="仿宋" w:hAnsi="仿宋" w:eastAsia="仿宋" w:cs="仿宋"/>
                <w:sz w:val="24"/>
              </w:rPr>
            </w:pPr>
            <w:r>
              <w:rPr>
                <w:rFonts w:hint="eastAsia" w:ascii="仿宋" w:hAnsi="仿宋" w:eastAsia="仿宋" w:cs="仿宋"/>
                <w:sz w:val="24"/>
              </w:rPr>
              <w:t>技术部分</w:t>
            </w:r>
          </w:p>
          <w:p>
            <w:pPr>
              <w:wordWrap w:val="0"/>
              <w:ind w:left="63" w:leftChars="30"/>
              <w:jc w:val="center"/>
              <w:rPr>
                <w:rFonts w:ascii="仿宋" w:hAnsi="仿宋" w:eastAsia="仿宋" w:cs="仿宋"/>
                <w:sz w:val="24"/>
              </w:rPr>
            </w:pPr>
            <w:r>
              <w:rPr>
                <w:rFonts w:ascii="仿宋" w:hAnsi="仿宋" w:eastAsia="仿宋" w:cs="仿宋"/>
                <w:sz w:val="24"/>
              </w:rPr>
              <w:t>60</w:t>
            </w:r>
            <w:r>
              <w:rPr>
                <w:rFonts w:hint="eastAsia" w:ascii="仿宋" w:hAnsi="仿宋" w:eastAsia="仿宋" w:cs="仿宋"/>
                <w:sz w:val="24"/>
              </w:rPr>
              <w:t>%（技术类评分因素）</w:t>
            </w:r>
          </w:p>
        </w:tc>
        <w:tc>
          <w:tcPr>
            <w:tcW w:w="505" w:type="pct"/>
            <w:vAlign w:val="center"/>
          </w:tcPr>
          <w:p>
            <w:pPr>
              <w:wordWrap w:val="0"/>
              <w:ind w:left="63" w:leftChars="30"/>
              <w:jc w:val="center"/>
              <w:rPr>
                <w:rFonts w:ascii="仿宋" w:hAnsi="仿宋" w:eastAsia="仿宋" w:cs="仿宋"/>
                <w:sz w:val="24"/>
              </w:rPr>
            </w:pPr>
            <w:r>
              <w:rPr>
                <w:rFonts w:hint="eastAsia" w:ascii="仿宋" w:hAnsi="仿宋" w:eastAsia="仿宋" w:cs="仿宋"/>
                <w:sz w:val="24"/>
              </w:rPr>
              <w:t>技术指标和配置</w:t>
            </w:r>
          </w:p>
        </w:tc>
        <w:tc>
          <w:tcPr>
            <w:tcW w:w="377" w:type="pct"/>
            <w:vAlign w:val="center"/>
          </w:tcPr>
          <w:p>
            <w:pPr>
              <w:wordWrap w:val="0"/>
              <w:ind w:firstLine="28"/>
              <w:jc w:val="center"/>
              <w:rPr>
                <w:rFonts w:ascii="仿宋" w:hAnsi="仿宋" w:eastAsia="仿宋" w:cs="仿宋"/>
                <w:sz w:val="24"/>
              </w:rPr>
            </w:pPr>
            <w:r>
              <w:rPr>
                <w:rFonts w:ascii="仿宋" w:hAnsi="仿宋" w:eastAsia="仿宋" w:cs="仿宋"/>
                <w:sz w:val="24"/>
              </w:rPr>
              <w:t>60</w:t>
            </w:r>
            <w:r>
              <w:rPr>
                <w:rFonts w:hint="eastAsia" w:ascii="仿宋" w:hAnsi="仿宋" w:eastAsia="仿宋" w:cs="仿宋"/>
                <w:sz w:val="24"/>
              </w:rPr>
              <w:t>分</w:t>
            </w:r>
          </w:p>
        </w:tc>
        <w:tc>
          <w:tcPr>
            <w:tcW w:w="2065" w:type="pct"/>
            <w:vAlign w:val="center"/>
          </w:tcPr>
          <w:p>
            <w:pPr>
              <w:pStyle w:val="6"/>
              <w:rPr>
                <w:rFonts w:ascii="仿宋" w:hAnsi="仿宋" w:eastAsia="仿宋" w:cs="仿宋"/>
                <w:bCs/>
                <w:sz w:val="24"/>
              </w:rPr>
            </w:pPr>
            <w:r>
              <w:rPr>
                <w:rFonts w:hint="eastAsia" w:ascii="仿宋" w:hAnsi="仿宋" w:eastAsia="仿宋" w:cs="仿宋"/>
                <w:bCs/>
                <w:sz w:val="24"/>
              </w:rPr>
              <w:t>技术指标和配置完全符合招标文件要求没有负偏离得</w:t>
            </w:r>
            <w:r>
              <w:rPr>
                <w:rFonts w:ascii="仿宋" w:hAnsi="仿宋" w:eastAsia="仿宋" w:cs="仿宋"/>
                <w:bCs/>
                <w:sz w:val="24"/>
              </w:rPr>
              <w:t>60</w:t>
            </w:r>
            <w:r>
              <w:rPr>
                <w:rFonts w:hint="eastAsia" w:ascii="仿宋" w:hAnsi="仿宋" w:eastAsia="仿宋" w:cs="仿宋"/>
                <w:bCs/>
                <w:sz w:val="24"/>
              </w:rPr>
              <w:t>分。</w:t>
            </w:r>
          </w:p>
          <w:p>
            <w:pPr>
              <w:pStyle w:val="6"/>
              <w:rPr>
                <w:rFonts w:ascii="仿宋" w:hAnsi="仿宋" w:eastAsia="仿宋" w:cs="仿宋"/>
                <w:bCs/>
                <w:sz w:val="24"/>
              </w:rPr>
            </w:pPr>
            <w:r>
              <w:rPr>
                <w:rFonts w:hint="eastAsia" w:ascii="仿宋" w:hAnsi="仿宋" w:eastAsia="仿宋" w:cs="仿宋"/>
                <w:bCs/>
                <w:sz w:val="24"/>
              </w:rPr>
              <w:t>1、投标人针对招标文件的技术参数条款的响应得分规则如下：</w:t>
            </w:r>
          </w:p>
          <w:p>
            <w:pPr>
              <w:pStyle w:val="6"/>
              <w:rPr>
                <w:rFonts w:ascii="仿宋" w:hAnsi="仿宋" w:eastAsia="仿宋" w:cs="仿宋"/>
                <w:bCs/>
                <w:sz w:val="24"/>
              </w:rPr>
            </w:pPr>
            <w:r>
              <w:rPr>
                <w:rFonts w:hint="eastAsia" w:ascii="仿宋" w:hAnsi="仿宋" w:eastAsia="仿宋" w:cs="仿宋"/>
                <w:bCs/>
                <w:sz w:val="24"/>
              </w:rPr>
              <w:t>技术参数条款响应得分=（投标人满足技术参数条款的数量÷技术参数条款的总数量）×</w:t>
            </w:r>
            <w:r>
              <w:rPr>
                <w:rFonts w:hint="eastAsia" w:ascii="仿宋" w:hAnsi="仿宋" w:eastAsia="仿宋" w:cs="仿宋"/>
                <w:bCs/>
                <w:sz w:val="24"/>
                <w:lang w:val="en-US" w:eastAsia="zh-CN"/>
              </w:rPr>
              <w:t>60</w:t>
            </w:r>
            <w:r>
              <w:rPr>
                <w:rFonts w:hint="eastAsia" w:ascii="仿宋" w:hAnsi="仿宋" w:eastAsia="仿宋" w:cs="仿宋"/>
                <w:bCs/>
                <w:sz w:val="24"/>
              </w:rPr>
              <w:t>分。</w:t>
            </w:r>
          </w:p>
          <w:p>
            <w:pPr>
              <w:pStyle w:val="6"/>
              <w:rPr>
                <w:rFonts w:ascii="仿宋" w:hAnsi="仿宋" w:eastAsia="仿宋" w:cs="仿宋"/>
                <w:bCs/>
                <w:sz w:val="24"/>
              </w:rPr>
            </w:pPr>
            <w:r>
              <w:rPr>
                <w:rFonts w:hint="eastAsia" w:ascii="仿宋" w:hAnsi="仿宋" w:eastAsia="仿宋" w:cs="仿宋"/>
                <w:bCs/>
                <w:sz w:val="24"/>
              </w:rPr>
              <w:t>注：</w:t>
            </w:r>
          </w:p>
          <w:p>
            <w:pPr>
              <w:pStyle w:val="6"/>
              <w:rPr>
                <w:rFonts w:ascii="仿宋" w:hAnsi="仿宋" w:eastAsia="仿宋" w:cs="仿宋"/>
                <w:bCs/>
                <w:sz w:val="24"/>
              </w:rPr>
            </w:pPr>
            <w:r>
              <w:rPr>
                <w:rFonts w:hint="eastAsia" w:ascii="仿宋" w:hAnsi="仿宋" w:eastAsia="仿宋" w:cs="仿宋"/>
                <w:bCs/>
                <w:sz w:val="24"/>
              </w:rPr>
              <w:t>①得分保留小数点后两位小数，四舍五入。</w:t>
            </w:r>
          </w:p>
          <w:p>
            <w:pPr>
              <w:pStyle w:val="6"/>
              <w:rPr>
                <w:rFonts w:ascii="仿宋" w:hAnsi="仿宋" w:eastAsia="仿宋" w:cs="仿宋"/>
                <w:sz w:val="24"/>
              </w:rPr>
            </w:pPr>
            <w:r>
              <w:rPr>
                <w:rFonts w:hint="eastAsia" w:ascii="仿宋" w:hAnsi="仿宋" w:eastAsia="仿宋" w:cs="仿宋"/>
                <w:bCs/>
                <w:sz w:val="24"/>
              </w:rPr>
              <w:t>②若每一项技术指标项均有负偏离，此处分值应扣完，得0分。</w:t>
            </w:r>
          </w:p>
        </w:tc>
        <w:tc>
          <w:tcPr>
            <w:tcW w:w="1117" w:type="pct"/>
            <w:vAlign w:val="center"/>
          </w:tcPr>
          <w:p>
            <w:pPr>
              <w:wordWrap w:val="0"/>
              <w:rPr>
                <w:rFonts w:ascii="仿宋" w:hAnsi="仿宋" w:eastAsia="仿宋" w:cs="仿宋"/>
                <w:sz w:val="24"/>
              </w:rPr>
            </w:pPr>
            <w:r>
              <w:rPr>
                <w:rFonts w:hint="eastAsia" w:ascii="仿宋" w:hAnsi="仿宋" w:eastAsia="仿宋" w:cs="仿宋"/>
                <w:sz w:val="24"/>
              </w:rPr>
              <w:t>若技术参数中要求了证明材料的按技术参数中的要求提供，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295" w:type="pct"/>
            <w:vMerge w:val="restart"/>
            <w:vAlign w:val="center"/>
          </w:tcPr>
          <w:p>
            <w:pPr>
              <w:wordWrap w:val="0"/>
              <w:ind w:firstLine="28"/>
              <w:jc w:val="center"/>
              <w:rPr>
                <w:rFonts w:ascii="仿宋" w:hAnsi="仿宋" w:eastAsia="仿宋" w:cs="仿宋"/>
                <w:sz w:val="24"/>
              </w:rPr>
            </w:pPr>
            <w:r>
              <w:rPr>
                <w:rFonts w:hint="eastAsia" w:ascii="仿宋" w:hAnsi="仿宋" w:eastAsia="仿宋" w:cs="仿宋"/>
                <w:sz w:val="24"/>
              </w:rPr>
              <w:t>3</w:t>
            </w:r>
          </w:p>
        </w:tc>
        <w:tc>
          <w:tcPr>
            <w:tcW w:w="637" w:type="pct"/>
            <w:vMerge w:val="restart"/>
            <w:vAlign w:val="center"/>
          </w:tcPr>
          <w:p>
            <w:pPr>
              <w:wordWrap w:val="0"/>
              <w:jc w:val="center"/>
              <w:rPr>
                <w:rFonts w:ascii="仿宋" w:hAnsi="仿宋" w:eastAsia="仿宋" w:cs="仿宋"/>
                <w:sz w:val="24"/>
              </w:rPr>
            </w:pPr>
            <w:r>
              <w:rPr>
                <w:rFonts w:hint="eastAsia" w:ascii="仿宋" w:hAnsi="仿宋" w:eastAsia="仿宋" w:cs="仿宋"/>
                <w:sz w:val="24"/>
              </w:rPr>
              <w:t>商务部分</w:t>
            </w:r>
          </w:p>
          <w:p>
            <w:pPr>
              <w:wordWrap w:val="0"/>
              <w:jc w:val="center"/>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%（共同类评分因素）</w:t>
            </w:r>
          </w:p>
        </w:tc>
        <w:tc>
          <w:tcPr>
            <w:tcW w:w="505" w:type="pct"/>
            <w:vAlign w:val="center"/>
          </w:tcPr>
          <w:p>
            <w:pPr>
              <w:wordWrap w:val="0"/>
              <w:jc w:val="center"/>
              <w:rPr>
                <w:rFonts w:ascii="仿宋" w:hAnsi="仿宋" w:eastAsia="仿宋" w:cs="仿宋"/>
                <w:sz w:val="24"/>
              </w:rPr>
            </w:pPr>
            <w:r>
              <w:rPr>
                <w:rFonts w:hint="eastAsia" w:ascii="仿宋" w:hAnsi="仿宋" w:eastAsia="仿宋" w:cs="仿宋"/>
                <w:sz w:val="24"/>
              </w:rPr>
              <w:t>业绩</w:t>
            </w:r>
          </w:p>
        </w:tc>
        <w:tc>
          <w:tcPr>
            <w:tcW w:w="377" w:type="pct"/>
            <w:vAlign w:val="center"/>
          </w:tcPr>
          <w:p>
            <w:pPr>
              <w:wordWrap w:val="0"/>
              <w:ind w:firstLine="28"/>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分</w:t>
            </w:r>
          </w:p>
        </w:tc>
        <w:tc>
          <w:tcPr>
            <w:tcW w:w="2065" w:type="pct"/>
            <w:vAlign w:val="center"/>
          </w:tcPr>
          <w:p>
            <w:pPr>
              <w:pStyle w:val="23"/>
              <w:wordWrap w:val="0"/>
              <w:rPr>
                <w:rFonts w:ascii="仿宋" w:hAnsi="仿宋" w:eastAsia="仿宋" w:cs="仿宋"/>
                <w:sz w:val="24"/>
                <w:szCs w:val="24"/>
              </w:rPr>
            </w:pPr>
            <w:r>
              <w:rPr>
                <w:rFonts w:hint="eastAsia" w:ascii="仿宋" w:hAnsi="仿宋" w:eastAsia="仿宋" w:cs="仿宋"/>
                <w:bCs/>
                <w:sz w:val="24"/>
                <w:szCs w:val="24"/>
              </w:rPr>
              <w:t>投标人提供自20</w:t>
            </w:r>
            <w:r>
              <w:rPr>
                <w:rFonts w:ascii="仿宋" w:hAnsi="仿宋" w:eastAsia="仿宋" w:cs="仿宋"/>
                <w:bCs/>
                <w:sz w:val="24"/>
                <w:szCs w:val="24"/>
              </w:rPr>
              <w:t>20</w:t>
            </w:r>
            <w:r>
              <w:rPr>
                <w:rFonts w:hint="eastAsia" w:ascii="仿宋" w:hAnsi="仿宋" w:eastAsia="仿宋" w:cs="仿宋"/>
                <w:bCs/>
                <w:sz w:val="24"/>
                <w:szCs w:val="24"/>
              </w:rPr>
              <w:t>年1月1日以来本次投标产品的销售记录（销售方不限），每提供1个得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分。（本次招标产品或分包项中采购产品不止一个的，则按照每提供任意1个产品有1次销售记录得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w:t>
            </w:r>
          </w:p>
        </w:tc>
        <w:tc>
          <w:tcPr>
            <w:tcW w:w="1117" w:type="pct"/>
            <w:vAlign w:val="center"/>
          </w:tcPr>
          <w:p>
            <w:pPr>
              <w:pStyle w:val="23"/>
              <w:wordWrap w:val="0"/>
              <w:rPr>
                <w:rFonts w:ascii="仿宋" w:hAnsi="仿宋" w:eastAsia="仿宋" w:cs="仿宋"/>
                <w:sz w:val="24"/>
                <w:szCs w:val="24"/>
              </w:rPr>
            </w:pPr>
            <w:r>
              <w:rPr>
                <w:rFonts w:hint="eastAsia" w:ascii="仿宋" w:hAnsi="仿宋" w:eastAsia="仿宋" w:cs="仿宋"/>
                <w:sz w:val="24"/>
                <w:szCs w:val="24"/>
              </w:rPr>
              <w:t>投标人需提供成交销售记录的合同复印件并加盖投标人公章。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atLeast"/>
        </w:trPr>
        <w:tc>
          <w:tcPr>
            <w:tcW w:w="295" w:type="pct"/>
            <w:vMerge w:val="continue"/>
            <w:vAlign w:val="center"/>
          </w:tcPr>
          <w:p>
            <w:pPr>
              <w:wordWrap w:val="0"/>
              <w:ind w:firstLine="28"/>
              <w:jc w:val="center"/>
              <w:rPr>
                <w:rFonts w:ascii="仿宋" w:hAnsi="仿宋" w:eastAsia="仿宋" w:cs="仿宋"/>
                <w:sz w:val="24"/>
              </w:rPr>
            </w:pPr>
          </w:p>
        </w:tc>
        <w:tc>
          <w:tcPr>
            <w:tcW w:w="637" w:type="pct"/>
            <w:vMerge w:val="continue"/>
            <w:vAlign w:val="center"/>
          </w:tcPr>
          <w:p>
            <w:pPr>
              <w:wordWrap w:val="0"/>
              <w:jc w:val="center"/>
              <w:rPr>
                <w:rFonts w:ascii="仿宋" w:hAnsi="仿宋" w:eastAsia="仿宋" w:cs="仿宋"/>
                <w:sz w:val="24"/>
              </w:rPr>
            </w:pPr>
          </w:p>
        </w:tc>
        <w:tc>
          <w:tcPr>
            <w:tcW w:w="505" w:type="pct"/>
            <w:tcBorders>
              <w:top w:val="single" w:color="auto" w:sz="4" w:space="0"/>
              <w:bottom w:val="single" w:color="auto" w:sz="4" w:space="0"/>
              <w:right w:val="single" w:color="auto" w:sz="4" w:space="0"/>
            </w:tcBorders>
            <w:vAlign w:val="center"/>
          </w:tcPr>
          <w:p>
            <w:pPr>
              <w:wordWrap w:val="0"/>
              <w:jc w:val="center"/>
              <w:rPr>
                <w:rFonts w:ascii="仿宋" w:hAnsi="仿宋" w:eastAsia="仿宋" w:cs="仿宋"/>
                <w:sz w:val="24"/>
              </w:rPr>
            </w:pPr>
            <w:r>
              <w:rPr>
                <w:rFonts w:hint="eastAsia" w:ascii="仿宋" w:hAnsi="仿宋" w:eastAsia="仿宋" w:cs="仿宋"/>
                <w:sz w:val="24"/>
              </w:rPr>
              <w:t>售后服务</w:t>
            </w:r>
          </w:p>
        </w:tc>
        <w:tc>
          <w:tcPr>
            <w:tcW w:w="377" w:type="pct"/>
            <w:tcBorders>
              <w:top w:val="single" w:color="auto" w:sz="4" w:space="0"/>
              <w:left w:val="single" w:color="auto" w:sz="4" w:space="0"/>
              <w:bottom w:val="single" w:color="auto" w:sz="4" w:space="0"/>
              <w:right w:val="single" w:color="auto" w:sz="4" w:space="0"/>
            </w:tcBorders>
            <w:vAlign w:val="center"/>
          </w:tcPr>
          <w:p>
            <w:pPr>
              <w:wordWrap w:val="0"/>
              <w:ind w:firstLine="28"/>
              <w:jc w:val="center"/>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分</w:t>
            </w:r>
          </w:p>
        </w:tc>
        <w:tc>
          <w:tcPr>
            <w:tcW w:w="2065" w:type="pct"/>
            <w:tcBorders>
              <w:top w:val="single" w:color="auto" w:sz="4" w:space="0"/>
              <w:left w:val="single" w:color="auto" w:sz="4" w:space="0"/>
              <w:bottom w:val="single" w:color="auto" w:sz="4" w:space="0"/>
              <w:right w:val="single" w:color="auto" w:sz="4" w:space="0"/>
            </w:tcBorders>
            <w:vAlign w:val="center"/>
          </w:tcPr>
          <w:p>
            <w:pPr>
              <w:wordWrap w:val="0"/>
              <w:ind w:firstLine="28"/>
              <w:rPr>
                <w:rFonts w:ascii="仿宋" w:hAnsi="仿宋" w:eastAsia="仿宋" w:cs="仿宋"/>
                <w:bCs/>
                <w:sz w:val="24"/>
              </w:rPr>
            </w:pPr>
            <w:r>
              <w:rPr>
                <w:rFonts w:hint="eastAsia" w:ascii="仿宋" w:hAnsi="仿宋" w:eastAsia="仿宋" w:cs="仿宋"/>
                <w:bCs/>
                <w:sz w:val="24"/>
              </w:rPr>
              <w:t>1、供应商结合本项目及采购人实际需要，提供售后服务方案（内容至少包括：①售后服务人员数量(提供社保等证明)②成都是否有售后点③配件品质及到货时间④质保期外售后服务措施）。完全满足以上要求并且合理可行、具有针对性的得</w:t>
            </w:r>
            <w:r>
              <w:rPr>
                <w:rFonts w:ascii="仿宋" w:hAnsi="仿宋" w:eastAsia="仿宋" w:cs="仿宋"/>
                <w:bCs/>
                <w:sz w:val="24"/>
              </w:rPr>
              <w:t>2</w:t>
            </w:r>
            <w:r>
              <w:rPr>
                <w:rFonts w:hint="eastAsia" w:ascii="仿宋" w:hAnsi="仿宋" w:eastAsia="仿宋" w:cs="仿宋"/>
                <w:bCs/>
                <w:sz w:val="24"/>
              </w:rPr>
              <w:t>分，每有一项内容缺失扣</w:t>
            </w:r>
            <w:r>
              <w:rPr>
                <w:rFonts w:ascii="仿宋" w:hAnsi="仿宋" w:eastAsia="仿宋" w:cs="仿宋"/>
                <w:bCs/>
                <w:sz w:val="24"/>
              </w:rPr>
              <w:t>2</w:t>
            </w:r>
            <w:r>
              <w:rPr>
                <w:rFonts w:hint="eastAsia" w:ascii="仿宋" w:hAnsi="仿宋" w:eastAsia="仿宋" w:cs="仿宋"/>
                <w:bCs/>
                <w:sz w:val="24"/>
              </w:rPr>
              <w:t>分，每有一项内容存在不合理或不足或没有针对性的扣</w:t>
            </w:r>
            <w:r>
              <w:rPr>
                <w:rFonts w:ascii="仿宋" w:hAnsi="仿宋" w:eastAsia="仿宋" w:cs="仿宋"/>
                <w:bCs/>
                <w:sz w:val="24"/>
              </w:rPr>
              <w:t>1</w:t>
            </w:r>
            <w:r>
              <w:rPr>
                <w:rFonts w:hint="eastAsia" w:ascii="仿宋" w:hAnsi="仿宋" w:eastAsia="仿宋" w:cs="仿宋"/>
                <w:bCs/>
                <w:sz w:val="24"/>
              </w:rPr>
              <w:t>分，扣完为止。</w:t>
            </w:r>
          </w:p>
          <w:p>
            <w:pPr>
              <w:wordWrap w:val="0"/>
              <w:ind w:firstLine="28"/>
              <w:rPr>
                <w:rFonts w:ascii="仿宋" w:hAnsi="仿宋" w:eastAsia="仿宋" w:cs="仿宋"/>
                <w:bCs/>
                <w:sz w:val="24"/>
              </w:rPr>
            </w:pPr>
            <w:r>
              <w:rPr>
                <w:rFonts w:hint="eastAsia" w:ascii="仿宋" w:hAnsi="仿宋" w:eastAsia="仿宋" w:cs="仿宋"/>
                <w:bCs/>
                <w:sz w:val="24"/>
              </w:rPr>
              <w:t>注：</w:t>
            </w:r>
            <w:r>
              <w:rPr>
                <w:rFonts w:hint="eastAsia" w:ascii="仿宋" w:hAnsi="仿宋" w:eastAsia="仿宋" w:cs="仿宋"/>
                <w:bCs/>
                <w:sz w:val="24"/>
                <w:szCs w:val="24"/>
              </w:rPr>
              <w:t>项目名称、涉及的规范、标准与本项目要求不一致、分析简略、套用其他项目模板、流程不清晰或只有框架而无实际内容、内容与本项目无关等任意一种情形</w:t>
            </w:r>
            <w:r>
              <w:rPr>
                <w:rFonts w:hint="eastAsia" w:ascii="仿宋" w:hAnsi="仿宋" w:eastAsia="仿宋" w:cs="仿宋"/>
                <w:bCs/>
                <w:sz w:val="24"/>
              </w:rPr>
              <w:t>。</w:t>
            </w:r>
          </w:p>
        </w:tc>
        <w:tc>
          <w:tcPr>
            <w:tcW w:w="1117" w:type="pct"/>
            <w:tcBorders>
              <w:top w:val="single" w:color="auto" w:sz="4" w:space="0"/>
              <w:left w:val="single" w:color="auto" w:sz="4" w:space="0"/>
              <w:bottom w:val="single" w:color="auto" w:sz="4" w:space="0"/>
              <w:right w:val="single" w:color="auto" w:sz="4" w:space="0"/>
            </w:tcBorders>
            <w:vAlign w:val="center"/>
          </w:tcPr>
          <w:p>
            <w:pPr>
              <w:wordWrap w:val="0"/>
              <w:ind w:left="-38"/>
              <w:rPr>
                <w:rFonts w:ascii="仿宋" w:hAnsi="仿宋" w:eastAsia="仿宋" w:cs="仿宋"/>
                <w:sz w:val="24"/>
              </w:rPr>
            </w:pPr>
            <w:r>
              <w:rPr>
                <w:rFonts w:hint="eastAsia" w:ascii="仿宋" w:hAnsi="仿宋" w:eastAsia="仿宋" w:cs="仿宋"/>
                <w:sz w:val="24"/>
              </w:rPr>
              <w:t>以投标人提供的投标文件为准。</w:t>
            </w:r>
          </w:p>
        </w:tc>
      </w:tr>
    </w:tbl>
    <w:p>
      <w:pPr>
        <w:jc w:val="left"/>
        <w:rPr>
          <w:rFonts w:ascii="仿宋" w:hAnsi="仿宋" w:eastAsia="仿宋" w:cstheme="minorEastAsia"/>
          <w:color w:val="000000" w:themeColor="text1"/>
          <w:sz w:val="28"/>
          <w:szCs w:val="28"/>
          <w14:textFill>
            <w14:solidFill>
              <w14:schemeClr w14:val="tx1"/>
            </w14:solidFill>
          </w14:textFill>
        </w:rPr>
      </w:pPr>
      <w:bookmarkStart w:id="0" w:name="_GoBack"/>
      <w:bookmarkEnd w:id="0"/>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r>
        <w:rPr>
          <w:rFonts w:ascii="仿宋" w:hAnsi="仿宋" w:eastAsia="仿宋" w:cstheme="minorEastAsia"/>
          <w:b/>
          <w:bCs/>
          <w:color w:val="000000" w:themeColor="text1"/>
          <w:sz w:val="28"/>
          <w:szCs w:val="28"/>
          <w14:textFill>
            <w14:solidFill>
              <w14:schemeClr w14:val="tx1"/>
            </w14:solidFill>
          </w14:textFill>
        </w:rPr>
        <w:br w:type="page"/>
      </w:r>
    </w:p>
    <w:p>
      <w:pPr>
        <w:pStyle w:val="16"/>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w:t>
      </w:r>
      <w:r>
        <w:rPr>
          <w:rFonts w:hint="eastAsia" w:ascii="仿宋" w:hAnsi="仿宋" w:eastAsia="仿宋" w:cs="仿宋_GB2312"/>
          <w:color w:val="000000" w:themeColor="text1"/>
          <w:sz w:val="28"/>
          <w:szCs w:val="28"/>
          <w:lang w:eastAsia="zh-CN"/>
          <w14:textFill>
            <w14:solidFill>
              <w14:schemeClr w14:val="tx1"/>
            </w14:solidFill>
          </w14:textFill>
        </w:rPr>
        <w:t>供应商</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6"/>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6"/>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w:t>
      </w: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w:t>
      </w:r>
      <w:r>
        <w:rPr>
          <w:rFonts w:hint="eastAsia" w:ascii="仿宋" w:hAnsi="仿宋" w:eastAsia="仿宋" w:cs="楷体"/>
          <w:bCs/>
          <w:color w:val="000000" w:themeColor="text1"/>
          <w:sz w:val="28"/>
          <w:szCs w:val="28"/>
          <w:lang w:eastAsia="zh-CN"/>
          <w14:textFill>
            <w14:solidFill>
              <w14:schemeClr w14:val="tx1"/>
            </w14:solidFill>
          </w14:textFill>
        </w:rPr>
        <w:t>供应商</w:t>
      </w:r>
      <w:r>
        <w:rPr>
          <w:rFonts w:hint="eastAsia" w:ascii="仿宋" w:hAnsi="仿宋" w:eastAsia="仿宋" w:cs="楷体"/>
          <w:bCs/>
          <w:color w:val="000000" w:themeColor="text1"/>
          <w:sz w:val="28"/>
          <w:szCs w:val="28"/>
          <w14:textFill>
            <w14:solidFill>
              <w14:schemeClr w14:val="tx1"/>
            </w14:solidFill>
          </w14:textFill>
        </w:rPr>
        <w:t>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6"/>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7"/>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7"/>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包含但不限于内容包括但不限于①现场服务支持能力、②售后服务人员数量、③应急维修响应时效、④配件品质等级、⑤质保期外服务措施等。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ind w:left="0" w:leftChars="0"/>
        <w:rPr>
          <w:rFonts w:ascii="仿宋" w:hAnsi="仿宋" w:eastAsia="仿宋"/>
          <w:color w:val="000000" w:themeColor="text1"/>
          <w:sz w:val="28"/>
          <w:szCs w:val="28"/>
          <w14:textFill>
            <w14:solidFill>
              <w14:schemeClr w14:val="tx1"/>
            </w14:solidFill>
          </w14:textFill>
        </w:rPr>
      </w:pPr>
    </w:p>
    <w:p>
      <w:pPr>
        <w:pStyle w:val="7"/>
        <w:ind w:left="0" w:leftChars="0"/>
        <w:rPr>
          <w:rFonts w:ascii="仿宋" w:hAnsi="仿宋" w:eastAsia="仿宋"/>
          <w:color w:val="000000" w:themeColor="text1"/>
          <w:sz w:val="28"/>
          <w:szCs w:val="28"/>
          <w14:textFill>
            <w14:solidFill>
              <w14:schemeClr w14:val="tx1"/>
            </w14:solidFill>
          </w14:textFill>
        </w:rPr>
      </w:pP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名称：（盖章）</w:t>
      </w: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6"/>
        <w:rPr>
          <w:rFonts w:cs="Times New Roman"/>
          <w:lang w:val="zh-CN"/>
        </w:rPr>
      </w:pPr>
      <w:r>
        <w:br w:type="page"/>
      </w:r>
    </w:p>
    <w:p>
      <w:pPr>
        <w:pStyle w:val="7"/>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2"/>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2"/>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2"/>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6"/>
              <w:spacing w:line="360" w:lineRule="auto"/>
              <w:rPr>
                <w:rFonts w:ascii="仿宋" w:hAnsi="仿宋" w:eastAsia="仿宋" w:cs="仿宋"/>
                <w:sz w:val="24"/>
              </w:rPr>
            </w:pP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11"/>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1"/>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1"/>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1"/>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1"/>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1"/>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1"/>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1"/>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1"/>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1"/>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1"/>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1"/>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GE Inspira Sans">
    <w:altName w:val="Calibri"/>
    <w:panose1 w:val="00000000000000000000"/>
    <w:charset w:val="00"/>
    <w:family w:val="swiss"/>
    <w:pitch w:val="default"/>
    <w:sig w:usb0="00000000"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66B2B"/>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2BE"/>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2480"/>
    <w:rsid w:val="00F83907"/>
    <w:rsid w:val="00F953B6"/>
    <w:rsid w:val="00FA2998"/>
    <w:rsid w:val="00FA323F"/>
    <w:rsid w:val="00FA429B"/>
    <w:rsid w:val="00FE6EA1"/>
    <w:rsid w:val="01537BA6"/>
    <w:rsid w:val="026E270A"/>
    <w:rsid w:val="02E545CF"/>
    <w:rsid w:val="03546191"/>
    <w:rsid w:val="04EA21F5"/>
    <w:rsid w:val="06A707AF"/>
    <w:rsid w:val="06E01BC1"/>
    <w:rsid w:val="0761037D"/>
    <w:rsid w:val="07622723"/>
    <w:rsid w:val="079972E3"/>
    <w:rsid w:val="083420ED"/>
    <w:rsid w:val="08681BA6"/>
    <w:rsid w:val="09443CB7"/>
    <w:rsid w:val="098A290C"/>
    <w:rsid w:val="0AA77CCC"/>
    <w:rsid w:val="0B0C10FF"/>
    <w:rsid w:val="0BBF43C3"/>
    <w:rsid w:val="0BC01BF6"/>
    <w:rsid w:val="0C102756"/>
    <w:rsid w:val="0CD43E9E"/>
    <w:rsid w:val="0CEF7725"/>
    <w:rsid w:val="0ED27AE6"/>
    <w:rsid w:val="0F6500AE"/>
    <w:rsid w:val="106C0B1D"/>
    <w:rsid w:val="11824CE5"/>
    <w:rsid w:val="12174F59"/>
    <w:rsid w:val="13144FF5"/>
    <w:rsid w:val="133F05A5"/>
    <w:rsid w:val="15442323"/>
    <w:rsid w:val="155E4C06"/>
    <w:rsid w:val="15EC41DA"/>
    <w:rsid w:val="170E13E4"/>
    <w:rsid w:val="17783FA5"/>
    <w:rsid w:val="19CC6629"/>
    <w:rsid w:val="19EB6441"/>
    <w:rsid w:val="1BBD6309"/>
    <w:rsid w:val="1C0A7E27"/>
    <w:rsid w:val="1DDF4451"/>
    <w:rsid w:val="1F346501"/>
    <w:rsid w:val="1F3F5AEF"/>
    <w:rsid w:val="20B816B5"/>
    <w:rsid w:val="20C52024"/>
    <w:rsid w:val="21044B9D"/>
    <w:rsid w:val="21450C91"/>
    <w:rsid w:val="216E3B1F"/>
    <w:rsid w:val="221D551E"/>
    <w:rsid w:val="227C4964"/>
    <w:rsid w:val="22D4654E"/>
    <w:rsid w:val="242D4168"/>
    <w:rsid w:val="244E08B1"/>
    <w:rsid w:val="24D942F0"/>
    <w:rsid w:val="254278B2"/>
    <w:rsid w:val="25757946"/>
    <w:rsid w:val="25900E53"/>
    <w:rsid w:val="25E92311"/>
    <w:rsid w:val="262F241A"/>
    <w:rsid w:val="27076F72"/>
    <w:rsid w:val="27225F72"/>
    <w:rsid w:val="277C5BA2"/>
    <w:rsid w:val="278C73F8"/>
    <w:rsid w:val="28042D57"/>
    <w:rsid w:val="288F53F1"/>
    <w:rsid w:val="28FC1071"/>
    <w:rsid w:val="2907215E"/>
    <w:rsid w:val="29BB23E3"/>
    <w:rsid w:val="2BD13993"/>
    <w:rsid w:val="2C3E5B4D"/>
    <w:rsid w:val="2D8B3077"/>
    <w:rsid w:val="2DA55FFE"/>
    <w:rsid w:val="2E400F3C"/>
    <w:rsid w:val="2EDD678B"/>
    <w:rsid w:val="2F9D0AAC"/>
    <w:rsid w:val="3075311F"/>
    <w:rsid w:val="313F0BB3"/>
    <w:rsid w:val="31753A2D"/>
    <w:rsid w:val="31DF0DEC"/>
    <w:rsid w:val="325B21B4"/>
    <w:rsid w:val="328C6861"/>
    <w:rsid w:val="333B232C"/>
    <w:rsid w:val="33641229"/>
    <w:rsid w:val="338E62A6"/>
    <w:rsid w:val="339577D0"/>
    <w:rsid w:val="345548CD"/>
    <w:rsid w:val="34574FF0"/>
    <w:rsid w:val="34CB63F0"/>
    <w:rsid w:val="364113AE"/>
    <w:rsid w:val="36C82C47"/>
    <w:rsid w:val="372B531C"/>
    <w:rsid w:val="37451F91"/>
    <w:rsid w:val="374F686C"/>
    <w:rsid w:val="376637C1"/>
    <w:rsid w:val="37BA66DD"/>
    <w:rsid w:val="37C01537"/>
    <w:rsid w:val="383B7831"/>
    <w:rsid w:val="3844628F"/>
    <w:rsid w:val="39296E78"/>
    <w:rsid w:val="39CE723C"/>
    <w:rsid w:val="3A0D7C30"/>
    <w:rsid w:val="3AA773FE"/>
    <w:rsid w:val="3AFB06C4"/>
    <w:rsid w:val="3D285477"/>
    <w:rsid w:val="3E327C16"/>
    <w:rsid w:val="3E741C22"/>
    <w:rsid w:val="3E9E7CE5"/>
    <w:rsid w:val="3ED77D2F"/>
    <w:rsid w:val="40143927"/>
    <w:rsid w:val="402819DE"/>
    <w:rsid w:val="4057597D"/>
    <w:rsid w:val="410A0AAD"/>
    <w:rsid w:val="429E3216"/>
    <w:rsid w:val="42C6118B"/>
    <w:rsid w:val="435D1690"/>
    <w:rsid w:val="43C31F9B"/>
    <w:rsid w:val="448E25A9"/>
    <w:rsid w:val="44970F9A"/>
    <w:rsid w:val="46250CEB"/>
    <w:rsid w:val="464A0752"/>
    <w:rsid w:val="46BD0F24"/>
    <w:rsid w:val="476937DB"/>
    <w:rsid w:val="488147DA"/>
    <w:rsid w:val="493960B2"/>
    <w:rsid w:val="4A3D7EA2"/>
    <w:rsid w:val="4BA650B0"/>
    <w:rsid w:val="4D8E7176"/>
    <w:rsid w:val="4E5C6EC3"/>
    <w:rsid w:val="4F083992"/>
    <w:rsid w:val="4F37130D"/>
    <w:rsid w:val="50C8395B"/>
    <w:rsid w:val="51685DEE"/>
    <w:rsid w:val="52102E2E"/>
    <w:rsid w:val="52530863"/>
    <w:rsid w:val="52F21F55"/>
    <w:rsid w:val="531F70F4"/>
    <w:rsid w:val="537668DA"/>
    <w:rsid w:val="54091C4C"/>
    <w:rsid w:val="54ED50CA"/>
    <w:rsid w:val="553C243D"/>
    <w:rsid w:val="55572544"/>
    <w:rsid w:val="56FD2E64"/>
    <w:rsid w:val="57AA72A2"/>
    <w:rsid w:val="59EB6C90"/>
    <w:rsid w:val="5A096502"/>
    <w:rsid w:val="5AA224B3"/>
    <w:rsid w:val="5B9B38F3"/>
    <w:rsid w:val="5C3E7830"/>
    <w:rsid w:val="5C675762"/>
    <w:rsid w:val="5CAA0423"/>
    <w:rsid w:val="5F5156AC"/>
    <w:rsid w:val="5F97010C"/>
    <w:rsid w:val="5FA15FFE"/>
    <w:rsid w:val="61B52ACC"/>
    <w:rsid w:val="61D04CCF"/>
    <w:rsid w:val="62055E3F"/>
    <w:rsid w:val="62D022B3"/>
    <w:rsid w:val="63345F40"/>
    <w:rsid w:val="63D530FA"/>
    <w:rsid w:val="63EF49BB"/>
    <w:rsid w:val="6400742D"/>
    <w:rsid w:val="64B96D77"/>
    <w:rsid w:val="64C17C5F"/>
    <w:rsid w:val="64E8140A"/>
    <w:rsid w:val="655A0F44"/>
    <w:rsid w:val="65F20792"/>
    <w:rsid w:val="664166AE"/>
    <w:rsid w:val="6660243F"/>
    <w:rsid w:val="66636F9A"/>
    <w:rsid w:val="66AB0E8B"/>
    <w:rsid w:val="66B04FE3"/>
    <w:rsid w:val="66BA6940"/>
    <w:rsid w:val="67E4410B"/>
    <w:rsid w:val="688C64CE"/>
    <w:rsid w:val="6974517B"/>
    <w:rsid w:val="698B065E"/>
    <w:rsid w:val="6A7D3A08"/>
    <w:rsid w:val="6AE07204"/>
    <w:rsid w:val="6B040620"/>
    <w:rsid w:val="6C3E1996"/>
    <w:rsid w:val="6CE05ED1"/>
    <w:rsid w:val="6DEA7FA1"/>
    <w:rsid w:val="6E0D1551"/>
    <w:rsid w:val="6E201C15"/>
    <w:rsid w:val="6E355189"/>
    <w:rsid w:val="6E5042A8"/>
    <w:rsid w:val="6E96154E"/>
    <w:rsid w:val="70CF0298"/>
    <w:rsid w:val="7118629C"/>
    <w:rsid w:val="71AF12E6"/>
    <w:rsid w:val="721708BC"/>
    <w:rsid w:val="7277650C"/>
    <w:rsid w:val="729624A5"/>
    <w:rsid w:val="73B644A9"/>
    <w:rsid w:val="74404DBF"/>
    <w:rsid w:val="750028EA"/>
    <w:rsid w:val="75232716"/>
    <w:rsid w:val="76263B40"/>
    <w:rsid w:val="76F854DD"/>
    <w:rsid w:val="771F3563"/>
    <w:rsid w:val="78340796"/>
    <w:rsid w:val="788B0215"/>
    <w:rsid w:val="7B6A53AF"/>
    <w:rsid w:val="7C782BF4"/>
    <w:rsid w:val="7DDD09A5"/>
    <w:rsid w:val="7EAF501B"/>
    <w:rsid w:val="7F6F6809"/>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21"/>
    <w:qFormat/>
    <w:uiPriority w:val="0"/>
    <w:pPr>
      <w:jc w:val="left"/>
    </w:pPr>
    <w:rPr>
      <w:sz w:val="18"/>
      <w:szCs w:val="20"/>
    </w:rPr>
  </w:style>
  <w:style w:type="paragraph" w:styleId="6">
    <w:name w:val="Body Text"/>
    <w:basedOn w:val="1"/>
    <w:link w:val="20"/>
    <w:qFormat/>
    <w:uiPriority w:val="0"/>
    <w:rPr>
      <w:rFonts w:ascii="Times New Roman"/>
    </w:rPr>
  </w:style>
  <w:style w:type="paragraph" w:styleId="7">
    <w:name w:val="Body Text Indent"/>
    <w:basedOn w:val="1"/>
    <w:link w:val="19"/>
    <w:qFormat/>
    <w:uiPriority w:val="0"/>
    <w:pPr>
      <w:spacing w:after="120"/>
      <w:ind w:left="420" w:leftChars="200"/>
    </w:pPr>
    <w:rPr>
      <w:rFonts w:ascii="Calibri" w:hAnsi="Calibri" w:eastAsia="宋体" w:cs="Times New Roman"/>
      <w:lang w:val="zh-CN"/>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next w:val="6"/>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Body Text First Indent"/>
    <w:basedOn w:val="6"/>
    <w:link w:val="22"/>
    <w:unhideWhenUsed/>
    <w:qFormat/>
    <w:uiPriority w:val="99"/>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paragraph" w:customStyle="1" w:styleId="16">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7">
    <w:name w:val="页眉 字符"/>
    <w:basedOn w:val="14"/>
    <w:link w:val="9"/>
    <w:qFormat/>
    <w:uiPriority w:val="0"/>
    <w:rPr>
      <w:rFonts w:asciiTheme="minorHAnsi" w:hAnsiTheme="minorHAnsi" w:eastAsiaTheme="minorEastAsia" w:cstheme="minorBidi"/>
      <w:kern w:val="2"/>
      <w:sz w:val="18"/>
      <w:szCs w:val="18"/>
    </w:rPr>
  </w:style>
  <w:style w:type="character" w:customStyle="1" w:styleId="18">
    <w:name w:val="页脚 字符"/>
    <w:basedOn w:val="14"/>
    <w:link w:val="8"/>
    <w:qFormat/>
    <w:uiPriority w:val="0"/>
    <w:rPr>
      <w:rFonts w:asciiTheme="minorHAnsi" w:hAnsiTheme="minorHAnsi" w:eastAsiaTheme="minorEastAsia" w:cstheme="minorBidi"/>
      <w:kern w:val="2"/>
      <w:sz w:val="18"/>
      <w:szCs w:val="18"/>
    </w:rPr>
  </w:style>
  <w:style w:type="character" w:customStyle="1" w:styleId="19">
    <w:name w:val="正文文本缩进 字符"/>
    <w:basedOn w:val="14"/>
    <w:link w:val="7"/>
    <w:qFormat/>
    <w:uiPriority w:val="0"/>
    <w:rPr>
      <w:rFonts w:ascii="Calibri" w:hAnsi="Calibri"/>
      <w:kern w:val="2"/>
      <w:sz w:val="21"/>
      <w:szCs w:val="24"/>
      <w:lang w:val="zh-CN"/>
    </w:rPr>
  </w:style>
  <w:style w:type="character" w:customStyle="1" w:styleId="20">
    <w:name w:val="正文文本 字符"/>
    <w:basedOn w:val="14"/>
    <w:link w:val="6"/>
    <w:qFormat/>
    <w:uiPriority w:val="99"/>
    <w:rPr>
      <w:rFonts w:hAnsiTheme="minorHAnsi" w:eastAsiaTheme="minorEastAsia" w:cstheme="minorBidi"/>
      <w:kern w:val="2"/>
      <w:sz w:val="21"/>
      <w:szCs w:val="24"/>
    </w:rPr>
  </w:style>
  <w:style w:type="character" w:customStyle="1" w:styleId="21">
    <w:name w:val="批注文字 字符"/>
    <w:link w:val="5"/>
    <w:qFormat/>
    <w:uiPriority w:val="0"/>
    <w:rPr>
      <w:rFonts w:asciiTheme="minorHAnsi" w:hAnsiTheme="minorHAnsi" w:eastAsiaTheme="minorEastAsia" w:cstheme="minorBidi"/>
      <w:kern w:val="2"/>
      <w:sz w:val="18"/>
    </w:rPr>
  </w:style>
  <w:style w:type="character" w:customStyle="1" w:styleId="22">
    <w:name w:val="正文首行缩进 字符"/>
    <w:basedOn w:val="20"/>
    <w:link w:val="11"/>
    <w:qFormat/>
    <w:uiPriority w:val="99"/>
    <w:rPr>
      <w:rFonts w:hAnsiTheme="minorHAnsi" w:eastAsiaTheme="minorEastAsia" w:cstheme="minorBidi"/>
      <w:kern w:val="2"/>
      <w:sz w:val="21"/>
      <w:szCs w:val="24"/>
    </w:rPr>
  </w:style>
  <w:style w:type="paragraph" w:customStyle="1" w:styleId="23">
    <w:name w:val="p15"/>
    <w:basedOn w:val="1"/>
    <w:qFormat/>
    <w:uiPriority w:val="0"/>
    <w:pPr>
      <w:widowControl/>
    </w:pPr>
    <w:rPr>
      <w:rFonts w:ascii="Calibri" w:cs="宋体"/>
      <w:szCs w:val="21"/>
    </w:rPr>
  </w:style>
  <w:style w:type="character" w:customStyle="1" w:styleId="24">
    <w:name w:val="font11"/>
    <w:basedOn w:val="14"/>
    <w:qFormat/>
    <w:uiPriority w:val="0"/>
    <w:rPr>
      <w:rFonts w:hint="eastAsia" w:ascii="微软雅黑" w:hAnsi="微软雅黑" w:eastAsia="微软雅黑" w:cs="微软雅黑"/>
      <w:b/>
      <w:bCs/>
      <w:color w:val="000000"/>
      <w:sz w:val="21"/>
      <w:szCs w:val="21"/>
      <w:u w:val="none"/>
    </w:rPr>
  </w:style>
  <w:style w:type="character" w:customStyle="1" w:styleId="25">
    <w:name w:val="font21"/>
    <w:basedOn w:val="14"/>
    <w:qFormat/>
    <w:uiPriority w:val="0"/>
    <w:rPr>
      <w:rFonts w:hint="eastAsia" w:ascii="微软雅黑" w:hAnsi="微软雅黑" w:eastAsia="微软雅黑" w:cs="微软雅黑"/>
      <w:color w:val="000000"/>
      <w:sz w:val="21"/>
      <w:szCs w:val="21"/>
      <w:u w:val="none"/>
    </w:rPr>
  </w:style>
  <w:style w:type="character" w:customStyle="1" w:styleId="26">
    <w:name w:val="font31"/>
    <w:basedOn w:val="14"/>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1184</Words>
  <Characters>6752</Characters>
  <Lines>56</Lines>
  <Paragraphs>15</Paragraphs>
  <TotalTime>0</TotalTime>
  <ScaleCrop>false</ScaleCrop>
  <LinksUpToDate>false</LinksUpToDate>
  <CharactersWithSpaces>7921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2023-11-13T07:40:00Z</dcterms:created>
  <dc:creator>隆道-01</dc:creator>
  <cp:lastModifiedBy>起点</cp:lastModifiedBy>
  <cp:lastPrinted>2023-11-17T07:23:00Z</cp:lastPrinted>
  <dcterms:modified xsi:type="dcterms:W3CDTF">2023-12-05T14:00:32Z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1D42879096E04853A8EBA0CC76360A48_13</vt:lpwstr>
  </property>
</Properties>
</file>