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hint="eastAsia" w:ascii="仿宋" w:hAnsi="仿宋" w:eastAsia="仿宋" w:cs="宋体"/>
          <w:b/>
          <w:color w:val="000000" w:themeColor="text1"/>
          <w:kern w:val="0"/>
          <w:sz w:val="44"/>
          <w:szCs w:val="44"/>
          <w:lang w:val="zh-CN"/>
          <w14:textFill>
            <w14:solidFill>
              <w14:schemeClr w14:val="tx1"/>
            </w14:solidFill>
          </w14:textFill>
        </w:rPr>
      </w:pPr>
      <w:r>
        <w:rPr>
          <w:rFonts w:hint="eastAsia" w:ascii="仿宋" w:hAnsi="仿宋" w:eastAsia="仿宋" w:cs="宋体"/>
          <w:b/>
          <w:color w:val="000000" w:themeColor="text1"/>
          <w:kern w:val="0"/>
          <w:sz w:val="44"/>
          <w:szCs w:val="44"/>
          <w:lang w:val="zh-CN"/>
          <w14:textFill>
            <w14:solidFill>
              <w14:schemeClr w14:val="tx1"/>
            </w14:solidFill>
          </w14:textFill>
        </w:rPr>
        <w:t>四川省严重精神障碍综合信息管理平台</w:t>
      </w: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2023年</w:t>
      </w:r>
      <w:r>
        <w:rPr>
          <w:rFonts w:hint="eastAsia" w:ascii="仿宋" w:hAnsi="仿宋" w:eastAsia="仿宋" w:cs="宋体"/>
          <w:b/>
          <w:color w:val="000000" w:themeColor="text1"/>
          <w:kern w:val="0"/>
          <w:sz w:val="44"/>
          <w:szCs w:val="44"/>
          <w:lang w:val="zh-CN"/>
          <w14:textFill>
            <w14:solidFill>
              <w14:schemeClr w14:val="tx1"/>
            </w14:solidFill>
          </w14:textFill>
        </w:rPr>
        <w:t>等级保护测评</w:t>
      </w:r>
      <w:r>
        <w:rPr>
          <w:rFonts w:hint="eastAsia" w:ascii="仿宋" w:hAnsi="仿宋" w:eastAsia="仿宋" w:cs="宋体"/>
          <w:b/>
          <w:color w:val="000000" w:themeColor="text1"/>
          <w:kern w:val="0"/>
          <w:sz w:val="44"/>
          <w:szCs w:val="44"/>
          <w:lang w:val="en-US" w:eastAsia="zh-CN"/>
          <w14:textFill>
            <w14:solidFill>
              <w14:schemeClr w14:val="tx1"/>
            </w14:solidFill>
          </w14:textFill>
        </w:rPr>
        <w:t>服务</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6"/>
        <w:rPr>
          <w:rFonts w:ascii="仿宋" w:hAnsi="仿宋" w:eastAsia="仿宋"/>
        </w:rPr>
      </w:pPr>
    </w:p>
    <w:p>
      <w:pPr>
        <w:pStyle w:val="6"/>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6"/>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为了落实公安部、网信办应用系统安全等级保护要求，进一步增强系统安全防护能力，确保系统安全稳定运行，防止因系统安全事件引发安全事故，依据《信息安全技术网络安全等级保护基本要求》（GB/T22239-2019）、《信息安全等级保护管理办法》（公通字[2007]43号）和《中华人民共和国网络安全法》等标准规范，我中心拟开展2023年度四川省严重精神障碍综合信息管理平台等级保护三级测评工作。</w:t>
      </w:r>
    </w:p>
    <w:p>
      <w:pPr>
        <w:ind w:firstLine="560" w:firstLine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本次安全等级保护测评服务范围为以下信息系统：</w:t>
      </w:r>
    </w:p>
    <w:tbl>
      <w:tblPr>
        <w:tblStyle w:val="12"/>
        <w:tblW w:w="7255" w:type="dxa"/>
        <w:jc w:val="center"/>
        <w:tblLayout w:type="fixed"/>
        <w:tblCellMar>
          <w:top w:w="0" w:type="dxa"/>
          <w:left w:w="108" w:type="dxa"/>
          <w:bottom w:w="0" w:type="dxa"/>
          <w:right w:w="108" w:type="dxa"/>
        </w:tblCellMar>
      </w:tblPr>
      <w:tblGrid>
        <w:gridCol w:w="5744"/>
        <w:gridCol w:w="1511"/>
      </w:tblGrid>
      <w:tr>
        <w:tblPrEx>
          <w:tblCellMar>
            <w:top w:w="0" w:type="dxa"/>
            <w:left w:w="108" w:type="dxa"/>
            <w:bottom w:w="0" w:type="dxa"/>
            <w:right w:w="108" w:type="dxa"/>
          </w:tblCellMar>
        </w:tblPrEx>
        <w:trPr>
          <w:trHeight w:val="405" w:hRule="atLeast"/>
          <w:jc w:val="center"/>
        </w:trPr>
        <w:tc>
          <w:tcPr>
            <w:tcW w:w="5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信息系统名称</w:t>
            </w:r>
          </w:p>
        </w:tc>
        <w:tc>
          <w:tcPr>
            <w:tcW w:w="151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定级</w:t>
            </w:r>
          </w:p>
        </w:tc>
      </w:tr>
      <w:tr>
        <w:tblPrEx>
          <w:tblCellMar>
            <w:top w:w="0" w:type="dxa"/>
            <w:left w:w="108" w:type="dxa"/>
            <w:bottom w:w="0" w:type="dxa"/>
            <w:right w:w="108" w:type="dxa"/>
          </w:tblCellMar>
        </w:tblPrEx>
        <w:trPr>
          <w:trHeight w:val="405" w:hRule="atLeast"/>
          <w:jc w:val="center"/>
        </w:trPr>
        <w:tc>
          <w:tcPr>
            <w:tcW w:w="5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四川省严重精神障碍综合管理信息系统</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3级</w:t>
            </w:r>
          </w:p>
        </w:tc>
      </w:tr>
    </w:tbl>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auto"/>
          <w:sz w:val="28"/>
          <w:szCs w:val="28"/>
          <w:highlight w:val="yellow"/>
        </w:rPr>
      </w:pPr>
      <w:r>
        <w:rPr>
          <w:rFonts w:hint="eastAsia" w:ascii="仿宋" w:hAnsi="仿宋" w:eastAsia="仿宋" w:cstheme="minorEastAsia"/>
          <w:color w:val="000000" w:themeColor="text1"/>
          <w:sz w:val="28"/>
          <w:szCs w:val="28"/>
          <w14:textFill>
            <w14:solidFill>
              <w14:schemeClr w14:val="tx1"/>
            </w14:solidFill>
          </w14:textFill>
        </w:rPr>
        <w:t>1.6 招标文件获取</w:t>
      </w:r>
      <w:r>
        <w:rPr>
          <w:rFonts w:hint="eastAsia" w:ascii="仿宋" w:hAnsi="仿宋" w:eastAsia="仿宋" w:cstheme="minorEastAsia"/>
          <w:color w:val="auto"/>
          <w:sz w:val="28"/>
          <w:szCs w:val="28"/>
        </w:rPr>
        <w:t>时间：</w:t>
      </w:r>
      <w:r>
        <w:rPr>
          <w:rFonts w:hint="eastAsia" w:ascii="仿宋" w:hAnsi="仿宋" w:eastAsia="仿宋" w:cstheme="minorEastAsia"/>
          <w:color w:val="auto"/>
          <w:sz w:val="28"/>
          <w:szCs w:val="28"/>
          <w:lang w:val="en-US" w:eastAsia="zh-CN"/>
        </w:rPr>
        <w:t>发布招标公告之时</w:t>
      </w:r>
      <w:r>
        <w:rPr>
          <w:rFonts w:hint="eastAsia" w:ascii="仿宋" w:hAnsi="仿宋" w:eastAsia="仿宋" w:cstheme="minorEastAsia"/>
          <w:color w:val="auto"/>
          <w:sz w:val="28"/>
          <w:szCs w:val="28"/>
          <w:highlight w:val="none"/>
          <w:lang w:val="en-US" w:eastAsia="zh-CN"/>
        </w:rPr>
        <w:t>起至</w:t>
      </w:r>
      <w:r>
        <w:rPr>
          <w:rFonts w:hint="eastAsia" w:ascii="仿宋" w:hAnsi="仿宋" w:eastAsia="仿宋" w:cstheme="minorEastAsia"/>
          <w:color w:val="auto"/>
          <w:sz w:val="28"/>
          <w:szCs w:val="28"/>
          <w:highlight w:val="none"/>
        </w:rPr>
        <w:t>202</w:t>
      </w:r>
      <w:r>
        <w:rPr>
          <w:rFonts w:hint="eastAsia" w:ascii="仿宋" w:hAnsi="仿宋" w:eastAsia="仿宋" w:cstheme="minorEastAsia"/>
          <w:color w:val="auto"/>
          <w:sz w:val="28"/>
          <w:szCs w:val="28"/>
          <w:highlight w:val="none"/>
          <w:lang w:val="en-US" w:eastAsia="zh-CN"/>
        </w:rPr>
        <w:t>3</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9</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8</w:t>
      </w:r>
      <w:r>
        <w:rPr>
          <w:rFonts w:hint="eastAsia" w:ascii="仿宋" w:hAnsi="仿宋" w:eastAsia="仿宋" w:cstheme="minorEastAsia"/>
          <w:color w:val="auto"/>
          <w:sz w:val="28"/>
          <w:szCs w:val="28"/>
          <w:highlight w:val="none"/>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auto"/>
          <w:sz w:val="28"/>
          <w:szCs w:val="28"/>
        </w:rPr>
        <w:t>1.7 投标文件递交时间：</w:t>
      </w:r>
      <w:r>
        <w:rPr>
          <w:rFonts w:hint="eastAsia" w:ascii="仿宋" w:hAnsi="仿宋" w:eastAsia="仿宋" w:cstheme="minorEastAsia"/>
          <w:color w:val="auto"/>
          <w:sz w:val="28"/>
          <w:szCs w:val="28"/>
          <w:highlight w:val="none"/>
        </w:rPr>
        <w:t>202</w:t>
      </w:r>
      <w:r>
        <w:rPr>
          <w:rFonts w:hint="eastAsia" w:ascii="仿宋" w:hAnsi="仿宋" w:eastAsia="仿宋" w:cstheme="minorEastAsia"/>
          <w:color w:val="auto"/>
          <w:sz w:val="28"/>
          <w:szCs w:val="28"/>
          <w:highlight w:val="none"/>
          <w:lang w:val="en-US" w:eastAsia="zh-CN"/>
        </w:rPr>
        <w:t>3</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9</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 xml:space="preserve">8 </w:t>
      </w:r>
      <w:r>
        <w:rPr>
          <w:rFonts w:hint="eastAsia" w:ascii="仿宋" w:hAnsi="仿宋" w:eastAsia="仿宋" w:cstheme="minorEastAsia"/>
          <w:color w:val="auto"/>
          <w:sz w:val="28"/>
          <w:szCs w:val="28"/>
          <w:highlight w:val="none"/>
        </w:rPr>
        <w:t>1</w:t>
      </w:r>
      <w:r>
        <w:rPr>
          <w:rFonts w:hint="eastAsia" w:ascii="仿宋" w:hAnsi="仿宋" w:eastAsia="仿宋" w:cstheme="minorEastAsia"/>
          <w:color w:val="auto"/>
          <w:sz w:val="28"/>
          <w:szCs w:val="28"/>
          <w:highlight w:val="none"/>
          <w:lang w:val="en-US" w:eastAsia="zh-CN"/>
        </w:rPr>
        <w:t>7</w:t>
      </w:r>
      <w:r>
        <w:rPr>
          <w:rFonts w:hint="eastAsia" w:ascii="仿宋" w:hAnsi="仿宋" w:eastAsia="仿宋" w:cstheme="minorEastAsia"/>
          <w:color w:val="auto"/>
          <w:sz w:val="28"/>
          <w:szCs w:val="28"/>
          <w:highlight w:val="none"/>
        </w:rPr>
        <w:t>:00截</w:t>
      </w:r>
      <w:r>
        <w:rPr>
          <w:rFonts w:hint="eastAsia" w:ascii="仿宋" w:hAnsi="仿宋" w:eastAsia="仿宋" w:cstheme="minorEastAsia"/>
          <w:color w:val="auto"/>
          <w:sz w:val="28"/>
          <w:szCs w:val="28"/>
        </w:rPr>
        <w:t>止</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auto"/>
          <w:sz w:val="28"/>
          <w:szCs w:val="28"/>
          <w:highlight w:val="none"/>
          <w:u w:val="single"/>
          <w:lang w:val="en-US" w:eastAsia="zh-CN"/>
        </w:rPr>
        <w:t xml:space="preserve"> 5</w:t>
      </w:r>
      <w:r>
        <w:rPr>
          <w:rFonts w:hint="eastAsia" w:ascii="仿宋" w:hAnsi="仿宋" w:eastAsia="仿宋" w:cstheme="minorEastAsia"/>
          <w:color w:val="auto"/>
          <w:sz w:val="28"/>
          <w:szCs w:val="28"/>
          <w:highlight w:val="none"/>
          <w:u w:val="single"/>
        </w:rPr>
        <w:t>万元</w:t>
      </w:r>
      <w:r>
        <w:rPr>
          <w:rFonts w:hint="eastAsia" w:ascii="仿宋" w:hAnsi="仿宋" w:eastAsia="仿宋" w:cstheme="minorEastAsia"/>
          <w:color w:val="auto"/>
          <w:sz w:val="28"/>
          <w:szCs w:val="28"/>
          <w:highlight w:val="none"/>
          <w:u w:val="single"/>
          <w:lang w:val="en-US" w:eastAsia="zh-CN"/>
        </w:rPr>
        <w:t xml:space="preserve"> </w:t>
      </w:r>
      <w:r>
        <w:rPr>
          <w:rFonts w:hint="eastAsia" w:ascii="仿宋" w:hAnsi="仿宋" w:eastAsia="仿宋" w:cstheme="minorEastAsia"/>
          <w:color w:val="auto"/>
          <w:sz w:val="28"/>
          <w:szCs w:val="28"/>
          <w:highlight w:val="none"/>
          <w:u w:val="single"/>
        </w:rPr>
        <w:t xml:space="preserve">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widowControl/>
        <w:wordWrap w:val="0"/>
        <w:spacing w:line="360" w:lineRule="auto"/>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1.12 投标人质</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疑：</w:t>
      </w:r>
      <w:r>
        <w:rPr>
          <w:rFonts w:hint="eastAsia" w:ascii="仿宋" w:hAnsi="仿宋" w:eastAsia="仿宋" w:cstheme="minorEastAsia"/>
          <w:color w:val="000000" w:themeColor="text1"/>
          <w:sz w:val="28"/>
          <w:szCs w:val="28"/>
          <w14:textFill>
            <w14:solidFill>
              <w14:schemeClr w14:val="tx1"/>
            </w14:solidFill>
          </w14:textFill>
        </w:rPr>
        <w:t>针对</w:t>
      </w:r>
      <w:r>
        <w:rPr>
          <w:rFonts w:hint="eastAsia" w:ascii="仿宋" w:hAnsi="仿宋" w:eastAsia="仿宋" w:cstheme="minorEastAsia"/>
          <w:color w:val="000000" w:themeColor="text1"/>
          <w:sz w:val="28"/>
          <w:szCs w:val="28"/>
          <w:lang w:val="en-US" w:eastAsia="zh-CN"/>
          <w14:textFill>
            <w14:solidFill>
              <w14:schemeClr w14:val="tx1"/>
            </w14:solidFill>
          </w14:textFill>
        </w:rPr>
        <w:t>招标</w:t>
      </w:r>
      <w:r>
        <w:rPr>
          <w:rFonts w:hint="eastAsia" w:ascii="仿宋" w:hAnsi="仿宋" w:eastAsia="仿宋" w:cstheme="minorEastAsia"/>
          <w:color w:val="000000" w:themeColor="text1"/>
          <w:sz w:val="28"/>
          <w:szCs w:val="28"/>
          <w14:textFill>
            <w14:solidFill>
              <w14:schemeClr w14:val="tx1"/>
            </w14:solidFill>
          </w14:textFill>
        </w:rPr>
        <w:t>文件技术条款和专业商务条件的质疑由</w:t>
      </w:r>
      <w:r>
        <w:rPr>
          <w:rFonts w:hint="eastAsia" w:ascii="仿宋" w:hAnsi="仿宋" w:eastAsia="仿宋" w:cstheme="minorEastAsia"/>
          <w:color w:val="000000" w:themeColor="text1"/>
          <w:sz w:val="28"/>
          <w:szCs w:val="28"/>
          <w:lang w:val="en-US" w:eastAsia="zh-CN"/>
          <w14:textFill>
            <w14:solidFill>
              <w14:schemeClr w14:val="tx1"/>
            </w14:solidFill>
          </w14:textFill>
        </w:rPr>
        <w:t>投标人</w:t>
      </w:r>
      <w:r>
        <w:rPr>
          <w:rFonts w:hint="eastAsia" w:ascii="仿宋" w:hAnsi="仿宋" w:eastAsia="仿宋" w:cstheme="minorEastAsia"/>
          <w:color w:val="000000" w:themeColor="text1"/>
          <w:sz w:val="28"/>
          <w:szCs w:val="28"/>
          <w14:textFill>
            <w14:solidFill>
              <w14:schemeClr w14:val="tx1"/>
            </w14:solidFill>
          </w14:textFill>
        </w:rPr>
        <w:t>于获取采购文件截止日期前书面向</w:t>
      </w:r>
      <w:r>
        <w:rPr>
          <w:rFonts w:hint="eastAsia" w:ascii="仿宋" w:hAnsi="仿宋" w:eastAsia="仿宋" w:cstheme="minorEastAsia"/>
          <w:color w:val="000000" w:themeColor="text1"/>
          <w:sz w:val="28"/>
          <w:szCs w:val="28"/>
          <w:lang w:val="en-US" w:eastAsia="zh-CN"/>
          <w14:textFill>
            <w14:solidFill>
              <w14:schemeClr w14:val="tx1"/>
            </w14:solidFill>
          </w14:textFill>
        </w:rPr>
        <w:t>招标</w:t>
      </w:r>
      <w:r>
        <w:rPr>
          <w:rFonts w:hint="eastAsia" w:ascii="仿宋" w:hAnsi="仿宋" w:eastAsia="仿宋" w:cstheme="minorEastAsia"/>
          <w:color w:val="000000" w:themeColor="text1"/>
          <w:sz w:val="28"/>
          <w:szCs w:val="28"/>
          <w14:textFill>
            <w14:solidFill>
              <w14:schemeClr w14:val="tx1"/>
            </w14:solidFill>
          </w14:textFill>
        </w:rPr>
        <w:t>人提出，并由四川省精神医学中心受理和回复</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投标人对招标文件提出质疑的，应在法定期限内，逾期不予受理。</w:t>
      </w:r>
    </w:p>
    <w:p>
      <w:pPr>
        <w:pStyle w:val="23"/>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 xml:space="preserve">    地址：四川省成都市温江区芙蓉大道二段33号</w:t>
      </w:r>
    </w:p>
    <w:p>
      <w:pPr>
        <w:pStyle w:val="23"/>
        <w:keepNext w:val="0"/>
        <w:keepLines w:val="0"/>
        <w:pageBreakBefore w:val="0"/>
        <w:kinsoku/>
        <w:wordWrap/>
        <w:overflowPunct/>
        <w:topLinePunct w:val="0"/>
        <w:bidi w:val="0"/>
        <w:snapToGrid/>
        <w:spacing w:line="240" w:lineRule="auto"/>
        <w:ind w:firstLine="560" w:firstLineChars="200"/>
        <w:jc w:val="both"/>
        <w:textAlignment w:val="auto"/>
        <w:outlineLvl w:val="9"/>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电话：028-81020254</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6"/>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两</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w:t>
      </w:r>
      <w:r>
        <w:rPr>
          <w:rFonts w:hint="eastAsia" w:ascii="仿宋" w:hAnsi="仿宋" w:eastAsia="仿宋" w:cstheme="minorEastAsia"/>
          <w:b/>
          <w:color w:val="000000" w:themeColor="text1"/>
          <w:sz w:val="28"/>
          <w:szCs w:val="28"/>
          <w:lang w:val="en-US" w:eastAsia="zh-CN"/>
          <w14:textFill>
            <w14:solidFill>
              <w14:schemeClr w14:val="tx1"/>
            </w14:solidFill>
          </w14:textFill>
        </w:rPr>
        <w:t>废标</w:t>
      </w:r>
      <w:r>
        <w:rPr>
          <w:rFonts w:hint="eastAsia" w:ascii="仿宋" w:hAnsi="仿宋" w:eastAsia="仿宋" w:cstheme="minorEastAsia"/>
          <w:b/>
          <w:color w:val="000000" w:themeColor="text1"/>
          <w:sz w:val="28"/>
          <w:szCs w:val="28"/>
          <w14:textFill>
            <w14:solidFill>
              <w14:schemeClr w14:val="tx1"/>
            </w14:solidFill>
          </w14:textFill>
        </w:rPr>
        <w:t>。</w:t>
      </w:r>
    </w:p>
    <w:p>
      <w:pPr>
        <w:pStyle w:val="6"/>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4.2.3 发生评标委员会推荐排名第一供应商主动放弃中标、被质疑或举报等情况的，参照《关于采购人是否有权顺延确定中标或者成交供应商等问题的函》（财库便函</w:t>
      </w:r>
      <w:r>
        <w:rPr>
          <w:rFonts w:hint="eastAsia" w:ascii="仿宋" w:hAnsi="仿宋" w:eastAsia="仿宋" w:cs="仿宋"/>
          <w:color w:val="000000" w:themeColor="text1"/>
          <w:kern w:val="2"/>
          <w:sz w:val="28"/>
          <w:szCs w:val="28"/>
          <w:lang w:val="en-US" w:eastAsia="zh-CN" w:bidi="ar-SA"/>
          <w14:textFill>
            <w14:solidFill>
              <w14:schemeClr w14:val="tx1"/>
            </w14:solidFill>
          </w14:textFill>
        </w:rPr>
        <w:t>〔2019〕154号</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）处理。</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7"/>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w:t>
      </w:r>
    </w:p>
    <w:p>
      <w:pPr>
        <w:pStyle w:val="11"/>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11"/>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1"/>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w:t>
      </w:r>
      <w:r>
        <w:rPr>
          <w:rFonts w:hint="eastAsia" w:ascii="仿宋" w:hAnsi="仿宋" w:eastAsia="仿宋"/>
          <w:color w:val="000000"/>
          <w:sz w:val="28"/>
          <w:szCs w:val="27"/>
          <w:lang w:val="en-US" w:eastAsia="zh-CN"/>
        </w:rPr>
        <w:t>20</w:t>
      </w:r>
      <w:r>
        <w:rPr>
          <w:rFonts w:hint="eastAsia" w:ascii="仿宋" w:hAnsi="仿宋" w:eastAsia="仿宋"/>
          <w:color w:val="000000"/>
          <w:sz w:val="28"/>
          <w:szCs w:val="27"/>
        </w:rPr>
        <w:t>-202</w:t>
      </w:r>
      <w:r>
        <w:rPr>
          <w:rFonts w:hint="eastAsia" w:ascii="仿宋" w:hAnsi="仿宋" w:eastAsia="仿宋"/>
          <w:color w:val="000000"/>
          <w:sz w:val="28"/>
          <w:szCs w:val="27"/>
          <w:lang w:val="en-US" w:eastAsia="zh-CN"/>
        </w:rPr>
        <w:t>2</w:t>
      </w:r>
      <w:r>
        <w:rPr>
          <w:rFonts w:hint="eastAsia" w:ascii="仿宋" w:hAnsi="仿宋" w:eastAsia="仿宋"/>
          <w:color w:val="000000"/>
          <w:sz w:val="28"/>
          <w:szCs w:val="27"/>
        </w:rPr>
        <w:t>年度（任意一年）经审计的财务报告复印件（包含审计报告和审计报告中所涉及的财务报表和报表附注）；②也可提供20</w:t>
      </w:r>
      <w:r>
        <w:rPr>
          <w:rFonts w:hint="eastAsia" w:ascii="仿宋" w:hAnsi="仿宋" w:eastAsia="仿宋"/>
          <w:color w:val="000000"/>
          <w:sz w:val="28"/>
          <w:szCs w:val="27"/>
          <w:lang w:val="en-US" w:eastAsia="zh-CN"/>
        </w:rPr>
        <w:t>20</w:t>
      </w:r>
      <w:r>
        <w:rPr>
          <w:rFonts w:hint="eastAsia" w:ascii="仿宋" w:hAnsi="仿宋" w:eastAsia="仿宋"/>
          <w:color w:val="000000"/>
          <w:sz w:val="28"/>
          <w:szCs w:val="27"/>
        </w:rPr>
        <w:t>-202</w:t>
      </w:r>
      <w:r>
        <w:rPr>
          <w:rFonts w:hint="eastAsia" w:ascii="仿宋" w:hAnsi="仿宋" w:eastAsia="仿宋"/>
          <w:color w:val="000000"/>
          <w:sz w:val="28"/>
          <w:szCs w:val="27"/>
          <w:lang w:val="en-US" w:eastAsia="zh-CN"/>
        </w:rPr>
        <w:t>2</w:t>
      </w:r>
      <w:r>
        <w:rPr>
          <w:rFonts w:hint="eastAsia" w:ascii="仿宋" w:hAnsi="仿宋" w:eastAsia="仿宋"/>
          <w:color w:val="000000"/>
          <w:sz w:val="28"/>
          <w:szCs w:val="27"/>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法定代表人身份证复印件。</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法定代表人授权书（格式4）原件和授权代表身份证复印件（投标人代表为非法定代表人时提供）。</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70" w:firstLineChars="100"/>
        <w:textAlignment w:val="auto"/>
        <w:rPr>
          <w:rFonts w:hint="eastAsia" w:ascii="仿宋" w:hAnsi="仿宋" w:eastAsia="仿宋"/>
          <w:b/>
          <w:color w:val="000000"/>
          <w:sz w:val="28"/>
          <w:szCs w:val="27"/>
          <w:lang w:eastAsia="zh-CN"/>
        </w:rPr>
      </w:pPr>
      <w:r>
        <w:rPr>
          <w:rFonts w:hint="eastAsia" w:ascii="仿宋" w:hAnsi="仿宋" w:eastAsia="仿宋"/>
          <w:color w:val="000000"/>
          <w:sz w:val="27"/>
          <w:szCs w:val="27"/>
        </w:rPr>
        <w:t>▲</w:t>
      </w: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lang w:val="en-US" w:eastAsia="zh-CN"/>
        </w:rPr>
        <w:t>技术需求</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5.2.1测评范围</w:t>
      </w:r>
      <w:r>
        <w:rPr>
          <w:rFonts w:hint="eastAsia" w:ascii="仿宋" w:hAnsi="仿宋" w:eastAsia="仿宋"/>
          <w:color w:val="000000"/>
          <w:sz w:val="28"/>
          <w:szCs w:val="27"/>
        </w:rPr>
        <w:t>覆盖安全管理中心、安全物理环境、安全通信网络、安全区域边界、安全计算环境、安全管理制度等基本要求，以及云计算安全、移动互联安全、物联网安全、工控制系统安全等扩展方面的要求。</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5.2.2</w:t>
      </w:r>
      <w:r>
        <w:rPr>
          <w:rFonts w:hint="eastAsia" w:ascii="仿宋" w:hAnsi="仿宋" w:eastAsia="仿宋"/>
          <w:color w:val="000000"/>
          <w:sz w:val="28"/>
          <w:szCs w:val="27"/>
        </w:rPr>
        <w:t>服务内容</w:t>
      </w:r>
      <w:r>
        <w:rPr>
          <w:rFonts w:hint="eastAsia" w:ascii="仿宋" w:hAnsi="仿宋" w:eastAsia="仿宋"/>
          <w:color w:val="000000"/>
          <w:sz w:val="28"/>
          <w:szCs w:val="27"/>
          <w:lang w:val="en-US" w:eastAsia="zh-CN"/>
        </w:rPr>
        <w:t>位</w:t>
      </w:r>
      <w:r>
        <w:rPr>
          <w:rFonts w:hint="eastAsia" w:ascii="仿宋" w:hAnsi="仿宋" w:eastAsia="仿宋"/>
          <w:color w:val="000000"/>
          <w:sz w:val="28"/>
          <w:szCs w:val="27"/>
        </w:rPr>
        <w:t>协助业主单位进行信息系统的信息安全等级测评、定级和备案工作，具体内容如下：</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5.2.2.1差距测评：</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（1）安全技术测评，包括安全物理环境、安全通信网络、安全区域边界、安全计算环境、安全管理中心方面的安全测评。</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（2）安全管理测评，包括安全管理制度、安全管理机构、安全管理人员、安全系统建设和安全系统运维五个方面的安全测评。</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5.2.2.2汇总差距测评结果并形成整改报告：</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（1）依据差距测评结果，对差距测评结果进行汇总统计，包括测评项符合情况及比例、单元测评结果符合情况比例以及整体测评结果等；</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（2）通过对信息系统基本安全保护状态的分析给出初步测评结论；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（3）根据测评结果制定《系统等级保护测评问题汇总及整改意见报告》，列出被测信息系统中存在的主要问题；</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（4）根据主要问题提出整改意见，制作整改意见报告。</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5.2.2.3根据整改意见报告，协助业主单位完成整改工作，在安全整改全过程提供技术咨询服务；</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5.2.2.4编制《网络安全等级测评报告》；</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5.2.2.5协助业主单位将《网络安全等级测评报告》提交相关部门备案。</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5.2.3在本项目完成后，服务方须提供以下文档资料：</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5.2.3.1《信息系统安全问题汇总及整改建议》；</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default" w:ascii="仿宋" w:hAnsi="仿宋" w:eastAsia="仿宋"/>
          <w:color w:val="000000"/>
          <w:sz w:val="28"/>
          <w:szCs w:val="27"/>
          <w:lang w:val="en-US" w:eastAsia="zh-CN"/>
        </w:rPr>
      </w:pPr>
      <w:r>
        <w:rPr>
          <w:rFonts w:hint="eastAsia" w:ascii="仿宋" w:hAnsi="仿宋" w:eastAsia="仿宋"/>
          <w:color w:val="000000"/>
          <w:sz w:val="28"/>
          <w:szCs w:val="27"/>
          <w:lang w:val="en-US" w:eastAsia="zh-CN"/>
        </w:rPr>
        <w:t>5.2.3.2《网络安全等级保护等级测评报告》及过程资料。</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b w:val="0"/>
          <w:bCs/>
          <w:color w:val="000000"/>
          <w:sz w:val="28"/>
          <w:szCs w:val="27"/>
          <w:lang w:eastAsia="zh-CN"/>
        </w:rPr>
      </w:pPr>
      <w:r>
        <w:rPr>
          <w:rFonts w:hint="eastAsia" w:ascii="仿宋" w:hAnsi="仿宋" w:eastAsia="仿宋"/>
          <w:b w:val="0"/>
          <w:bCs/>
          <w:color w:val="000000"/>
          <w:sz w:val="28"/>
          <w:szCs w:val="27"/>
        </w:rPr>
        <w:t>5.</w:t>
      </w:r>
      <w:r>
        <w:rPr>
          <w:rFonts w:hint="eastAsia" w:ascii="仿宋" w:hAnsi="仿宋" w:eastAsia="仿宋"/>
          <w:b w:val="0"/>
          <w:bCs/>
          <w:color w:val="000000"/>
          <w:sz w:val="28"/>
          <w:szCs w:val="27"/>
          <w:lang w:val="en-US" w:eastAsia="zh-CN"/>
        </w:rPr>
        <w:t>2.4</w:t>
      </w:r>
      <w:r>
        <w:rPr>
          <w:rFonts w:hint="eastAsia" w:ascii="仿宋" w:hAnsi="仿宋" w:eastAsia="仿宋"/>
          <w:b w:val="0"/>
          <w:bCs/>
          <w:color w:val="000000"/>
          <w:sz w:val="28"/>
          <w:szCs w:val="27"/>
        </w:rPr>
        <w:t>测评内容与</w:t>
      </w:r>
      <w:r>
        <w:rPr>
          <w:rFonts w:hint="eastAsia" w:ascii="仿宋" w:hAnsi="仿宋" w:eastAsia="仿宋"/>
          <w:b w:val="0"/>
          <w:bCs/>
          <w:color w:val="000000"/>
          <w:sz w:val="28"/>
          <w:szCs w:val="27"/>
          <w:lang w:val="en-US" w:eastAsia="zh-CN"/>
        </w:rPr>
        <w:t>基本要求</w:t>
      </w:r>
    </w:p>
    <w:tbl>
      <w:tblPr>
        <w:tblStyle w:val="12"/>
        <w:tblW w:w="8522" w:type="dxa"/>
        <w:tblInd w:w="0" w:type="dxa"/>
        <w:tblLayout w:type="fixed"/>
        <w:tblCellMar>
          <w:top w:w="0" w:type="dxa"/>
          <w:left w:w="108" w:type="dxa"/>
          <w:bottom w:w="0" w:type="dxa"/>
          <w:right w:w="108" w:type="dxa"/>
        </w:tblCellMar>
      </w:tblPr>
      <w:tblGrid>
        <w:gridCol w:w="1242"/>
        <w:gridCol w:w="1701"/>
        <w:gridCol w:w="5579"/>
      </w:tblGrid>
      <w:tr>
        <w:tblPrEx>
          <w:tblCellMar>
            <w:top w:w="0" w:type="dxa"/>
            <w:left w:w="108" w:type="dxa"/>
            <w:bottom w:w="0" w:type="dxa"/>
            <w:right w:w="108" w:type="dxa"/>
          </w:tblCellMar>
        </w:tblPrEx>
        <w:trPr>
          <w:trHeight w:val="119" w:hRule="atLeast"/>
          <w:tblHeader/>
        </w:trPr>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分类</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子类</w:t>
            </w:r>
          </w:p>
        </w:tc>
        <w:tc>
          <w:tcPr>
            <w:tcW w:w="55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基本要求</w:t>
            </w:r>
          </w:p>
        </w:tc>
      </w:tr>
      <w:tr>
        <w:tblPrEx>
          <w:tblCellMar>
            <w:top w:w="0" w:type="dxa"/>
            <w:left w:w="108" w:type="dxa"/>
            <w:bottom w:w="0" w:type="dxa"/>
            <w:right w:w="108" w:type="dxa"/>
          </w:tblCellMar>
        </w:tblPrEx>
        <w:trPr>
          <w:trHeight w:val="20" w:hRule="atLeast"/>
        </w:trPr>
        <w:tc>
          <w:tcPr>
            <w:tcW w:w="12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安全物理环境</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物理位置选择</w:t>
            </w:r>
          </w:p>
        </w:tc>
        <w:tc>
          <w:tcPr>
            <w:tcW w:w="5579" w:type="dxa"/>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机房场地应选择在具有防震、防风和防雨等能力的建筑内;</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机房场地应避免设在建筑物的顶层或地下室，否则应加强防水和防潮措施。</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物理访问控制</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机房出入口应配置电子门禁系统，控制、鉴别和记录进入的人员。</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防盗窃和防破坏</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应将设备或主要部件进行固定，并设置明显的不易除去的标识;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应将通信线缆铺设在隐蔽安全处。</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c）应设置机房防盗报警系统或设置有专人值守的视频监控系统。</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防雷击</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应将各类机柜、设施和设备等通过接地系统安全接地。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应采取措施防止感应雷，例如设置防雷保安器或过压保护装置等。</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防火</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机房应设置火灾自动消防系统，能够自动检测火情、自动报警，并自动灭火;</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机房及相关的工作房间和辅助房应采用具有耐火等级的建筑材料;</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c）应对机房划分区域进行管理，区域和区域之间设置隔离防火措施。</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防水和防潮</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应采取措施防止雨水通过机房窗户、屋顶和墙壁渗透;</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应采取措施防止机房内水蒸气结露和地下积水的转移与渗透;</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c）应安装对水敏感的检测仪表或元件，对机房进行防水检测和报警。</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防静电</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应采用防静电地板或地面并采用必要的接地防静电措施;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b）应采取措施防止静电的产生，例如采用静电消除器、佩戴防静电手环等。</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温湿度控制</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应设置温湿度自动调节设施，使机房温湿度的变化在设备运行所允许的范围之内。</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电力供应</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应在机房供电线路上配置稳压器和过电压防护设备;</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应提供短期的备用电力供应，至少满足设备在断电情况下的正常运行要求;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c）应设置冗余或并行的电力电缆线路为计算机系统供电。</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电磁防护</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电源线和通信线缆应隔离铺设，避免互相干扰;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b）应对关键设备实施电磁屏蔽。</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安全通信网络</w:t>
            </w: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网络架构</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应保证网络设备的业务处理能力满足业务高峰期需要;</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应保证网络各个部分的带宽满足业务高峰期需要;</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应划分不同的网络区域，并按照方便管理和控制的原则为各网络区域分配地址;</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应避免将重要网络区域部署在边界处，重要网络区域与其他网络区域之间应采取可靠的技术隔离手段;</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应提供通信线路、关键网络设备和关键计算设备的硬件冗余，保证系统的可用性。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通信传输</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应采用校验技术或密码技术保证通信过程中数据的完整性;</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应采用密码技术保证通信过程中数据的保密性。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可信验证</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基于可信根对通信设备的系统引导程序、系统程序、重要配置参数和通信应用程序等进行可信验证，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安全区域边界</w:t>
            </w: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边界防护</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应保证跨越边界的访问和数据流通过边界设备提供的受控接口进行通信;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应能够对非授权设备私自联到内部网络的行为进行检查或限制;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应能够对内部用户非授权联到外部网络的行为进行检查或限制;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应限制无线网络的使用,保证无线网络通过受控的边界设备接入内部网络。</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访问控制</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应在网络边界或区域之间根据访问控制策略设置访问控制规则，默认情况下除允许通信外受控接口拒绝所有通信;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应删除多余或无效的访问控制规则，优化访问控制列表，并保证访问控制规则数量最小化;</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应对源地址、目的地址、源端口、目的端口和协议等进行检查，以允许/拒绝数据包进出;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应能根据会话状态信息为进出数据流提供明确的允许/拒绝访问的能力;</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应对进出网络的数据流实现基于应用协议和应用内容的访问控制。</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入侵防范</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应在关键网络节点处检测、防止或限制从外部发起的网络攻击行为;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应在关键网络节点处检测、防止或限制从内部发起的网络攻击行为;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应采取技术措施对网络行为进行分析，实现对网络攻击特别是新型网络攻击行为的分析;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当检测到攻击行为时，记录攻击源IP、攻击类型、攻击目标、攻击时间，在发生严重入侵事件时应提供报警。</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恶意代码和垃圾邮件防范</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应在关键网络节点处对恶意代码进行检测和清除，并维护恶意代码防护机制的升级和更新;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应在关键网络节点处对垃圾邮件进行检测和防护，并维护垃圾邮件防护机制的升级和更新。</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安全审计</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应在网络边界、重要网络节点进行安全审计，审计覆盖到每个用户，对重要的用户行为和重要安全事件进行审计;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审计记录应包括事件的日期和时间、用户、事件类型、事件是否成功及其他与审计相关的信息;</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应对审计记录进行保护，定期备份，避免受到未预期的删除、修改或覆盖等;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应能对远程访问的用户行为、访问互联网的用户行为等单独进行行为审计和数据分析。</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可信验证</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安全计算环境</w:t>
            </w: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身份鉴别</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应对登录的用户进行身份标识和鉴别，身份标识具有唯一性，身份鉴别信息具有复杂度要求并定期更换;</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应具有登录失败处理功能，应配置并启用结束会话、限制非法登录次数和当登录连接超时自动退出等相关措施;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当进行远程管理时，应采取必要措施防止鉴别信息在网络传输过程中被窃听;</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应采用口令、密码技术、生物技术等两种或两种以上组合的鉴别技术对用户进行身份鉴别，且其中一种鉴别技术至少应使用密码技术来实现。</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访问控制</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应对登录的用户分配账户和权限;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应重命名或删除默认账户，修改默认账户的默认口令;</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 xml:space="preserve">c) 应及时删除或停用多余的、过期的账户，避免共享账户的存在;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应授予管理用户所需的最小权限，实现管理用户的权限分离;</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应由授权主体配置访问控制策略，访间控制策略规定主体对客体的访问规则;</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 访问控制的粒度应达到主体为用户级或进程级，客体为文件、数据库表级;</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g) 应对重要主体和客体设置安全标记，并控制主体对有安全标记信息资源的访问。</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安全审计</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应启用安全审计功能，审计覆盖到每个用户，对重要的用户行为和重要安全事件进行审计;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审计记录应包括事件的日期和时间、用户、事件类型、事件是否成功及其他与审计相关的信息;</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应对审计记录进行保护，定期备份，避免受到未预期的删除、修改或覆盖等;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d）应对审计进程进行保护，防止未经授权的中断。</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入侵防范</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应遵循最小安装的原则，仅安装需要的组件和应用程序;</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应关闭不需要的系统服务、默认共享和高危端口;</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应通过设定终端接入方式或网络地址范围对通过网络进行管理的管理终端进行限制;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应提供数据有效性检验功能，保证通过人机接口输入或通过通信接口输入的内容符合系统设定要求;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应能发现可能存在的已知漏洞，并在经过充分测试评估后，及时修补漏洞;</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 应能够检测到对重要节点进行入侵的行为，并在发生严重入侵事件时提供报警。</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恶意代码防范</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应采用免受恶意代码攻击的技术措施或主动免疫可信验证机制及时识别入侵和病毒行为，并将其有效阻断。</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可信验证</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可基于可信根对计算设备的系统引导程序、系统程序、重要配置参数和应用程序等进行可信验证， 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数据完整性</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应采用校验技术保证重要数据在传输过程中的完整性，包括但不限于鉴别数据、重要业务数据、重要审计数据、重要配置数据、重要视频数据和重要个人信息等;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应采用校验技术或密码技术保证重要数据在存储过程中的完整性，包括但不限于鉴别数据、重要业务数据、重要审计数据、重要配置数据、重要视频数据和重要个人信息等。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数据保密性</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a）应采用密码技术保证重要数据在传输过程中的保密性，包括但不限于鉴别数据、重要业务数据和重要个人信息等;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b）应采用密码技术保证重要数据在存储过程中的保密性，包括但不限于鉴别数据、重要业务数据和重要个人信息等。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数据备份恢复</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应提供重要数据的本地数据备份与恢复功能;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应提供异地数据备份功能，利用通信网络将重要数据定时批量传送至备用场地;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应提供重要数据处理系统的热冗余，保证系统的高可用性。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剩余信息保护</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a）应保证鉴别信息所在的存储空间被释放或重新分配前得到完全清除;</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b）应保证存有敏感数据的存储空间被释放或重新分配前得到完全清除。</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个人信息保护</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应仅采集和保存业务必需的用户个人信息;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应禁止未授权访问和非法使用用户个人信息。</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安全管理中心</w:t>
            </w: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系统管理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应对系统管理员进行身份鉴别，只允许其通过特定的命令或操作界面进行系统管理操作，并对这些操作进行审计;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应通过系统管理员对系统的资源和运行进行配置、控制和管理，包括用户身份、系统资源配置、系统加载和启动、系统运行的异常处理、数据和设备的备份与恢复等。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审计管理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应对审计管理员进行身份鉴别，只允许其通过特定的命令或操作界面进行安全审计操作，并对这些操作进行审计;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应通过审计管理员对审计记录进行分析，并根据分析结果进行处理，包括根据安全审计策略对审计记录进行存储、管理和查询等。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a）应对安全管理员进行身份鉴别，只允许其通过特定的命令或操作界面进行安全管理操作，并对这些操作进行审计;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应通过安全管理员对系统中的安全策略进行配置，包括安全参数的设置，主体、客体进行统一安全标记，对主体进行授权，配置可信验证策略等。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集中管控</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a）应划分出特定的管理区域，对分布在网络中的安全设备或安全组件进行管控;</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应能够建立一条安全的信息传输路径，对网络中的安全设备或安全组件进行管理;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c）应对网络链路、安全设备、网络设备和服务器等的运行状况进行集中监测;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d）应对分散在各个设备上的审计数据进行收集汇总和集中分析，并保证审计记录的留存时间符合法律法规要求;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e）应对安全策路、恶意代码、补丁升级等安全相关事项进行集中管理;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f）应能对网络中发生的各类安全事件进行识别、报警和分析。</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安全管理制度</w:t>
            </w: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安全策略</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应制定网络安全工作的总体方针和安全策略，阐明机构安全工作的总体目标、范围、原则和安全框架等。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管理制度</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应对安全管理活动中的主要管理内容建立安全管理制度;</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应对管理人员或操作人员执行的日常管理操作建立操作规程;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应形成由安全策略、管理制度、操作规程、记录表单等构成的全面的安全管理制度体系。</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制定和发布</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应指定或授权专门的部门或人员负责安全管理制度的制定;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安全管理制度应通过正式、有效的方式发布，并进行版本控制。</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评审和修订</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应定期对安全管理制度的合理性和适用性进行论证和审定，对存在不足或需要改进的安全管理制度进行修订。</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安全管理机构</w:t>
            </w: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岗位设置</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a）应成立指导和管理网络安全工作的委员会或领导小组，其最高领导由单位主管领导担任或授权;</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b）应设立网络安全管理工作的职能部门，设立安全主管、安全管理各个方面的负责人岗位，并定义各负责人的职责;</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c）应设立系统管理员、审计管理员和安全管理员等岗位，并定义部门及各个工作岗位的职责。</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人员配备</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a）应配备一定数量的系统管理员、审计管理员和安全管理员等;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应配备专职安全管理员，不可兼任。</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授权和审批</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a）应根据各个部门和岗位的职责明确授权审批事项、审批部门和批准人等;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b）应针对系统变更、重要操作、物理访问和系统接入等事项建立审批程序，按照审批程序执行审批过程，对重要活动建立逐级审批制度;</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c）应定期审查审批事项，及时更新需授权和审批的项目、审批部门和审批人等信息。</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沟通和合作</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应加强各类管理人员、组织内部机构和网络安全管理部门之间的合作与沟通，定期召开协调会议，共同协作处理网络安全问题;</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应加强与网络安全职能部门、各类供应商、业界专家及安全组织的合作与沟通;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应建立外联单位联系列表，包括外联单位名称、合作内容、联系人和联系方式等信息。</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审核和检查</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应定期进行常规安全检查，检查内容包括系统日常运行、系统漏洞和数据备份等情况;</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应定期进行全面安全检查，检查内容包括现有安全技术措施的有效性、安全配置与安全策略的一致性、安全管理制度的执行情况等;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应制定安全检查表格实施安全检查，汇总安全检查数据，形成安全检查报告，并对安全检查结果进行通报。</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安全管理人员</w:t>
            </w: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人员录用</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应指定或授权专门的部门或人员负责人员录用;</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b）应对被录用人员的身份、安全背景、专业资格或资质等进行审查，对其所具有的技术技能进行考核;</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c）应与被录用人员签署保密协议，与关键岗位人员签署岗位责任协议。</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人员离岗</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a）应及时终止离岗人员的所有访问权限，取回各种身份证件、钥匙、徽章等以及机构提供的软硬件设备;</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应办理严格的调离手续，并承诺调离后的保密义务后方可离开。</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安全意识教育和培训</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a）应对各类人员进行安全意识教育和岗位技能培训，并告知相关的安全责任和惩戒措施;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b）应针对不同岗位制定不同的培训计划，对安全基础知识、岗位操作规程等进行培训;</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c）应定期对不同岗位的人员进行技能考核。</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外部人员访问管理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应在外部人员物理访问受控区域前先提出书面申请，批准后由专人全程陪同，并登记备案;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应在外部人员接入受控网络访问系统前先提出书面申请，批准后由专人开设账户、分配权限，并登记备案;</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外部人员离场后应及时清除其所有的访问权限;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d）获得系统访问授权的外部人员应签署保密协议，不得进行非授权操作，不得复制和泄露任何敏感信息。</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安全建设管理</w:t>
            </w: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定级和备案</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应以书面的形式说明保护对象的安全保护等级及确定等级的方法和理由;</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 xml:space="preserve">b) 应组织相关部门和有关安全技术专家对定级结果的合理性和正确性进行论证和审定;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应保证定级结果经过相关部门的批准;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应将备案材料报主管部门和相应公安机关备案。</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安全方案设计</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a）应根据安全保护等级选择基本安全措施，依据风险分析的结果补充和调整安全措施;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b）应根据保护对象的安全保护等级及与其他级别保护对象的关系进行安全整体规划和安全方案设计，设计内容应包含密码技术相关内容，并形成配套文件;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c）应组织相关部门和有关安全专家对安全整体规划及其配套文件的合理性和正确性进行论证和审定，经过批准后才能正式实施。</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产品采购和使用</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应确保网络安全产品采购和使用符合国家的有关规定;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应确保密码产品与服务的采购和使用符合国家密码管理主管部门的要求;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c）应预先对产品进行选型测试，确定产品的候选范围，并定期审定和更新候选产品名单。</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自行软件开发</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a）应将开发环境与实际运行环境物理分开，测试数据和测试结果受到控制;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应制定软件开发管理制度，明确说明开发过程的控制方法和人员行为准则;</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c）应制定代码编写安全规范，要求开发人员参照规范编写代码;</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应具备软件设计的相关文档和使用指南，并对文档使用进行控制;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e）应保证在软件开发过程中对安全性进行测试，在软件安装前对可能存在的恶意代码进行检测;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 应对程序资源库的修改、更新、发布进行授权和批准，并严格进行版本控制;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g）应保证开发人员为专职人员、开发人员的开发活动受到控制、监视和审查。</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外包软件开发</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应在软件交付前检测其中可能存在的恶意代码;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应保证开发单位提供软件设计文档和使用指南;</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c）应保证开发单位提供软件源代码，并审查软件中可能存在的后门和隐蔽信道。</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工程实施</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应指定或授权专门的部门或人员负责工程实施过程的管理;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应制定安全工程实施方案控制工程实施过程;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c）应通过第三方工程监理控制项目的实施过程。</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测试验收</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应制订测试验收方案，并依据测试验收方案实施测试验收，形成测试验收报告;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b）应进行上线前的安全性测试，并出具安全测试报告，安全测试报告应包含密码应用安全性测试相关内容。</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系统交付</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应制定交付清单，并根据交付清单对所交接的设备、软件和文档等进行清点;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应对负责运行维护的技术人员进行相应的技能培训;</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应提供建设过程文档和运行维护文档。</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等级测评</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应定期进行等级测评，发现不符合相应等级保护标准要求的及时整改;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应在发生重大变更或级别发生变化时进行等级测评;</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应确保测评机构的选择符合国家有关规定。</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服务供应商选择</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应确保服务供应商的选择符合国家的有关规定;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应与选定的服务供应商签订相关协议，明确整个服务供应链各方需履行的网络安全相关义务;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c）应定期监督、评审和审核服务供应商提供的服务，并对其变更服务内容加以控制。</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安全运维管理</w:t>
            </w: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环境管理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应指定专门的部门或人员负责机房安全，对机房出入进行管理，定期对机房供配电、空调、温湿度控制、消防等设施进行维护管理;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b）应建立机房安全管理制度，对有关物理访问、物品带进出和环境安全等方面的管理作出规定;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应不在重要区域接待来访人员，不随意放置含有敏感信息的纸档文件和移动介质等。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资产管理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应编制并保存与保护对象相关的资产清单，包括资产责任部门、重要程度和所处位置等内容;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b）应根据资产的重要程度对资产进行标识管理，根据资产的价值选择相应的管理措施;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c）应对信息分类与标识方法作出规定，并对信息的使用、传输和存储等进行规范化管理。</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介质管理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应将介质存放在安全的环境中，对各类介质进行控制和保护，实行存储环境专人管理，并根据存档介质的目录清单定期盘点;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应对介质在物理传输过程中的人员选择、打包、交付等情况进行控制，并对介质的归档和查询等进行登记记录。</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设备维护管理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应对各种设备(包括备份和冗余设备)、线路等指定专门的部门或人员定期进行维护管理;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应对配套设施、软硬件维护管理做出规定，包括明确维护人员的责任、维修和服务的审批、维修过程的监督控制等;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c）信息处理设备应经过审批才能带离机房或办公地点，含有存储介质的设备带出工作环境时其中重要数据应加密;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d）含有存储介质的设备在报废或重用前，应进行完全清除或被安全覆盖，保证该设备上的敏感数据和授权软件无法被恢复重用。</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漏洞和风险管理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应采取必要的措施识别安全漏洞和隐患，对发现的安全漏洞和隐患及时进行修补或评估可能的影响后进行修补;</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b）应定期开展安全测评，形成安全测评报告，采取措施应对发现的安全问题。</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网络和系统安全管理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应划分不同的管理员角色进行网络和系统的运维管理，明确各个角色的责任和权限;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应指定专门的部门或人员进行账户管理，对申请账户、建立账户、删除账户等进行控制;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应建立网络和系统安全管理制度，对安全策略、账户管理、配置管理、日志管理、日常操作、升级与打补丁、口令更新周期等方面作出规定;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应制定重要设备的配置和操作手册，依据手册对设备进行安全配置和优化配置等;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应详细记录运维操作日志，包括日常巡检工作、运行维护记录、参数的设置和修改等内容;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f）应指定专门的部门或人员对日志、监测和报警数据等进行分析、统计，及时发现可疑行为;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g）应严格控制变更性运维，经过审批后才可改变连接、安装系统组件或调整配置参数，操作过程中应保留不可更改的审计日志，操作结束后应同步更新配置信息库;</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h）应严格控制运维工具的使用，经过审批后才可接入进行操作，操作过程中应保留不可更改的审计日志，操作结束后应删除工具中的敏感数据;</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i）应严格控制远程运维的开通，经过审批后才可开通远程运维接口或通道，操作过程中应保留不可更改的审计日志，操作结束后立即关闭接口或通道;</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j）应保证所有与外部的连接均得到授权和批准，应定期检查违反规定无线上网及其他违反网络安全策略的行为。</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恶意代码防范管理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应提高所有用户的防恶意代码意识，对外来计算机或存储设备接入系统前进行恶意代码检查等;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b）应定期验证防范恶意代码攻击的技术措施的有效性。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配置管理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应记录和保存基本配置信息，包括网络拓扑结构、各个设备安装的软件组件、软件组件的版本和 补丁信息、各个设备或软件组件的配置参数等;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应将基本配置信息改变纳入变更范畴，实施对配置信息改变的控制，并及时更新基本配置信息库。</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密码管理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应遵循密码相关国家标准和行业标准;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应使用国家密码管理主管部门认证核准的密码技术和产品。</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变更管理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a）应明确变更需求，变更前根据变更需求制定变更方案，变更方案经过评审、审批后方可实施;</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应建立变更的申报和审批控制程序，依据程序控制所有的变更，记录变更实施过程;</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c）应建立中止变更并从失败变更中恢复的程序，明确过程控制方法和人员职责，必要时对恢复过程进行演练。</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备份与恢复管理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应识别需要定期备份的重要业务信息、系统数据及软件系统等;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应规定备份信息的备份方式、备份频度、存储介质、保存期等;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 应根据数据的重要性和数据对系统运行的影响，制定数据的备份策略和恢复策略、备份程序和恢复程序等。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安全事件处置</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应及时向安全管理部门报告所发现的安全弱点和可疑事件;</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应制定安全事件报告和处置管理制度，明确不同安全事件的报告、处置和响应流程，规定安全事件的现场处理、事件报告和后期恢复的管理职责等;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 应在安全事件报告和响应处理过程中，分析和鉴定事件产生的原因，收集证据，记录处理过程，总结经验教训;</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d）对造成系统中断和造成信息泄漏的重大安全事件应采用不同的处理程序和报告程序。</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应急预案管理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a）应规定统一的应急预案框架，包括启动预案的条件、应急组织构成、应急资源保障、事后教育和培训等内容;</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应制定重要事件的应急预案，包括应急处理流程、系统恢复流程等内容;</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c）应定期对系统相关的人员进行应急预案培训，并进行应急预案的演练;</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d）应定期对原有的应急预案重新评估，修订完善。</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外包运维管理</w:t>
            </w:r>
          </w:p>
        </w:tc>
        <w:tc>
          <w:tcPr>
            <w:tcW w:w="5579"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应确保外包运维服务商的选择符合国家的有关规定;</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应与选定的外包运维服务商签订相关的协议，明确约定外包运维的范围、工作内容;</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c）应保证选择的外包运维服务商在技术和管理方面均应具有按照等级保护要求开展安全运维工作的能力，并将能力要求在签订的协议中明确;</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d) 应在与外包运维服务商签订的协议中明确所有相关的安全要求，如可能涉及对敏感信息的访问、处理、存储要求，对IT基础设施中断服务的应急保障要求等。</w:t>
            </w:r>
          </w:p>
        </w:tc>
      </w:tr>
    </w:tbl>
    <w:p>
      <w:pPr>
        <w:pStyle w:val="6"/>
        <w:keepNext w:val="0"/>
        <w:keepLines w:val="0"/>
        <w:pageBreakBefore w:val="0"/>
        <w:kinsoku/>
        <w:wordWrap/>
        <w:overflowPunct/>
        <w:topLinePunct w:val="0"/>
        <w:autoSpaceDE/>
        <w:autoSpaceDN/>
        <w:bidi w:val="0"/>
        <w:adjustRightInd/>
        <w:snapToGrid/>
        <w:spacing w:line="360" w:lineRule="auto"/>
        <w:ind w:firstLine="282" w:firstLineChars="100"/>
        <w:textAlignment w:val="auto"/>
        <w:rPr>
          <w:rFonts w:ascii="仿宋" w:hAnsi="仿宋" w:eastAsia="仿宋" w:cs="仿宋"/>
          <w:b/>
          <w:spacing w:val="1"/>
          <w:sz w:val="28"/>
        </w:rPr>
      </w:pPr>
      <w:r>
        <w:rPr>
          <w:rFonts w:hint="eastAsia" w:ascii="仿宋" w:hAnsi="仿宋" w:eastAsia="仿宋" w:cs="仿宋"/>
          <w:spacing w:val="1"/>
          <w:sz w:val="28"/>
        </w:rPr>
        <w:t>▲</w:t>
      </w: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 xml:space="preserve"> 商务要求</w:t>
      </w:r>
    </w:p>
    <w:p>
      <w:pPr>
        <w:pStyle w:val="6"/>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rPr>
        <w:t>1</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期及地点：</w:t>
      </w:r>
    </w:p>
    <w:p>
      <w:pPr>
        <w:pStyle w:val="25"/>
        <w:spacing w:line="360" w:lineRule="auto"/>
        <w:ind w:firstLine="566" w:firstLineChars="200"/>
        <w:jc w:val="left"/>
        <w:rPr>
          <w:rFonts w:hint="eastAsia" w:ascii="仿宋" w:hAnsi="仿宋" w:eastAsia="仿宋" w:cs="仿宋"/>
          <w:spacing w:val="1"/>
          <w:kern w:val="2"/>
          <w:sz w:val="28"/>
          <w:szCs w:val="24"/>
          <w:lang w:val="en-US" w:eastAsia="zh-CN" w:bidi="ar-SA"/>
        </w:rPr>
      </w:pP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w:t>
      </w:r>
      <w:r>
        <w:rPr>
          <w:rFonts w:ascii="仿宋" w:hAnsi="仿宋" w:eastAsia="仿宋" w:cs="仿宋"/>
          <w:b/>
          <w:spacing w:val="1"/>
          <w:sz w:val="28"/>
        </w:rPr>
        <w:t xml:space="preserve">1.1 </w:t>
      </w:r>
      <w:r>
        <w:rPr>
          <w:rFonts w:hint="eastAsia" w:ascii="仿宋" w:hAnsi="仿宋" w:eastAsia="仿宋" w:cs="仿宋"/>
          <w:b/>
          <w:spacing w:val="1"/>
          <w:sz w:val="28"/>
          <w:lang w:val="en-US" w:eastAsia="zh-CN"/>
        </w:rPr>
        <w:t>服务期限</w:t>
      </w:r>
      <w:r>
        <w:rPr>
          <w:rFonts w:hint="eastAsia" w:ascii="仿宋" w:hAnsi="仿宋" w:eastAsia="仿宋" w:cs="仿宋"/>
          <w:b/>
          <w:spacing w:val="1"/>
          <w:sz w:val="28"/>
        </w:rPr>
        <w:t>：</w:t>
      </w:r>
      <w:r>
        <w:rPr>
          <w:rFonts w:hint="eastAsia" w:ascii="仿宋" w:hAnsi="仿宋" w:eastAsia="仿宋" w:cs="仿宋"/>
          <w:spacing w:val="1"/>
          <w:kern w:val="2"/>
          <w:sz w:val="28"/>
          <w:szCs w:val="24"/>
          <w:lang w:val="en-US" w:eastAsia="zh-CN" w:bidi="ar-SA"/>
        </w:rPr>
        <w:t>合同签订后5个工作日内进场开始测评工作，本项目须于2023年12月31日前完成。</w:t>
      </w:r>
    </w:p>
    <w:p>
      <w:pPr>
        <w:pStyle w:val="7"/>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 xml:space="preserve">.1.2 </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地点</w:t>
      </w:r>
      <w:r>
        <w:rPr>
          <w:rFonts w:hint="eastAsia" w:ascii="仿宋" w:hAnsi="仿宋" w:eastAsia="仿宋" w:cs="仿宋"/>
          <w:spacing w:val="1"/>
          <w:sz w:val="28"/>
        </w:rPr>
        <w:t>：采购人指定地点。</w:t>
      </w:r>
    </w:p>
    <w:p>
      <w:pPr>
        <w:pStyle w:val="6"/>
        <w:spacing w:line="360" w:lineRule="auto"/>
        <w:ind w:firstLine="566" w:firstLineChars="200"/>
        <w:rPr>
          <w:rFonts w:hint="default" w:ascii="仿宋" w:hAnsi="仿宋" w:eastAsia="仿宋" w:cs="仿宋"/>
          <w:spacing w:val="1"/>
          <w:sz w:val="28"/>
          <w:highlight w:val="none"/>
          <w:lang w:val="en-US" w:eastAsia="zh-CN"/>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.2.</w:t>
      </w:r>
      <w:r>
        <w:rPr>
          <w:rFonts w:hint="eastAsia" w:ascii="仿宋" w:hAnsi="仿宋" w:eastAsia="仿宋" w:cs="仿宋"/>
          <w:b/>
          <w:spacing w:val="1"/>
          <w:sz w:val="28"/>
        </w:rPr>
        <w:t>付款方式</w:t>
      </w:r>
      <w:r>
        <w:rPr>
          <w:rFonts w:hint="eastAsia" w:ascii="仿宋" w:hAnsi="仿宋" w:eastAsia="仿宋" w:cs="仿宋"/>
          <w:spacing w:val="1"/>
          <w:sz w:val="28"/>
          <w:highlight w:val="none"/>
        </w:rPr>
        <w:t>：</w:t>
      </w:r>
      <w:r>
        <w:rPr>
          <w:rFonts w:hint="eastAsia" w:ascii="仿宋" w:hAnsi="仿宋" w:eastAsia="仿宋" w:cs="仿宋"/>
          <w:spacing w:val="1"/>
          <w:sz w:val="28"/>
          <w:highlight w:val="none"/>
          <w:lang w:val="en-US" w:eastAsia="zh-CN"/>
        </w:rPr>
        <w:t>投标人完成初次测评后，投标人对招标人提供的《信息系统安全问题汇总及整改建议》、《网络安全等级保护等级测评报告》及过程资料进行验收，验收合格后支付合同金额的100%，系统测评合格并于2023年12月31日前在公安部门完成备案可直接视为项目验收合格。</w:t>
      </w:r>
    </w:p>
    <w:p>
      <w:pPr>
        <w:pStyle w:val="6"/>
        <w:spacing w:line="360" w:lineRule="auto"/>
        <w:ind w:firstLine="566" w:firstLineChars="200"/>
        <w:rPr>
          <w:rFonts w:ascii="仿宋" w:hAnsi="仿宋" w:eastAsia="仿宋" w:cs="仿宋"/>
          <w:spacing w:val="1"/>
          <w:sz w:val="28"/>
        </w:rPr>
      </w:pPr>
      <w:r>
        <w:rPr>
          <w:rFonts w:ascii="仿宋" w:hAnsi="仿宋" w:eastAsia="仿宋" w:cs="仿宋"/>
          <w:b/>
          <w:spacing w:val="1"/>
          <w:sz w:val="28"/>
          <w:highlight w:val="none"/>
        </w:rPr>
        <w:t>5.</w:t>
      </w:r>
      <w:r>
        <w:rPr>
          <w:rFonts w:hint="eastAsia" w:ascii="仿宋" w:hAnsi="仿宋" w:eastAsia="仿宋" w:cs="仿宋"/>
          <w:b/>
          <w:spacing w:val="1"/>
          <w:sz w:val="28"/>
          <w:highlight w:val="none"/>
          <w:lang w:val="en-US" w:eastAsia="zh-CN"/>
        </w:rPr>
        <w:t>3</w:t>
      </w:r>
      <w:r>
        <w:rPr>
          <w:rFonts w:ascii="仿宋" w:hAnsi="仿宋" w:eastAsia="仿宋" w:cs="仿宋"/>
          <w:b/>
          <w:spacing w:val="1"/>
          <w:sz w:val="28"/>
          <w:highlight w:val="none"/>
        </w:rPr>
        <w:t>.</w:t>
      </w:r>
      <w:r>
        <w:rPr>
          <w:rFonts w:hint="eastAsia" w:ascii="仿宋" w:hAnsi="仿宋" w:eastAsia="仿宋" w:cs="仿宋"/>
          <w:b/>
          <w:spacing w:val="1"/>
          <w:sz w:val="28"/>
          <w:highlight w:val="none"/>
        </w:rPr>
        <w:t>3</w:t>
      </w:r>
      <w:r>
        <w:rPr>
          <w:rFonts w:ascii="仿宋" w:hAnsi="仿宋" w:eastAsia="仿宋" w:cs="仿宋"/>
          <w:b/>
          <w:spacing w:val="1"/>
          <w:sz w:val="28"/>
          <w:highlight w:val="none"/>
        </w:rPr>
        <w:t>.</w:t>
      </w:r>
      <w:r>
        <w:rPr>
          <w:rFonts w:hint="eastAsia" w:ascii="仿宋" w:hAnsi="仿宋" w:eastAsia="仿宋" w:cs="仿宋"/>
          <w:b/>
          <w:spacing w:val="1"/>
          <w:sz w:val="28"/>
          <w:highlight w:val="none"/>
        </w:rPr>
        <w:t>履约保障金：</w:t>
      </w:r>
      <w:r>
        <w:rPr>
          <w:rFonts w:hint="eastAsia" w:ascii="仿宋" w:hAnsi="仿宋" w:eastAsia="仿宋" w:cs="仿宋"/>
          <w:spacing w:val="1"/>
          <w:sz w:val="28"/>
          <w:highlight w:val="none"/>
          <w:lang w:val="en-US" w:eastAsia="zh-CN"/>
        </w:rPr>
        <w:t>无</w:t>
      </w:r>
      <w:r>
        <w:rPr>
          <w:rFonts w:hint="eastAsia" w:ascii="仿宋" w:hAnsi="仿宋" w:eastAsia="仿宋" w:cs="仿宋"/>
          <w:spacing w:val="1"/>
          <w:sz w:val="28"/>
        </w:rPr>
        <w:t>。</w:t>
      </w:r>
    </w:p>
    <w:p>
      <w:pPr>
        <w:pStyle w:val="6"/>
        <w:spacing w:line="360" w:lineRule="auto"/>
        <w:ind w:firstLine="566" w:firstLineChars="200"/>
        <w:rPr>
          <w:rFonts w:hint="eastAsia" w:asciiTheme="minorEastAsia" w:hAnsiTheme="minorEastAsia" w:eastAsiaTheme="minorEastAsia" w:cstheme="minorEastAsia"/>
          <w:sz w:val="24"/>
          <w:szCs w:val="24"/>
          <w:shd w:val="clear" w:color="auto" w:fill="FFFFFF"/>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4</w:t>
      </w:r>
      <w:r>
        <w:rPr>
          <w:rFonts w:hint="eastAsia" w:ascii="仿宋" w:hAnsi="仿宋" w:eastAsia="仿宋" w:cs="仿宋"/>
          <w:b/>
          <w:spacing w:val="1"/>
          <w:sz w:val="28"/>
        </w:rPr>
        <w:t>验收标准：</w:t>
      </w:r>
      <w:r>
        <w:rPr>
          <w:rFonts w:hint="eastAsia" w:ascii="仿宋" w:hAnsi="仿宋" w:eastAsia="仿宋" w:cs="仿宋"/>
          <w:spacing w:val="1"/>
          <w:kern w:val="2"/>
          <w:sz w:val="28"/>
          <w:szCs w:val="24"/>
          <w:lang w:val="en-US" w:eastAsia="zh-CN" w:bidi="ar-SA"/>
        </w:rPr>
        <w:t>按国家有关规定、《财政部关于进一步加强政府采购需求和履行验收管理的指导意见》（财库〔2016〕205号）文件、招标文件要求、投标人的投标文件及有关承诺以及合同约定标准进行验收。本项目主要预期成果为“四川省严重精神障碍综合管理信息系统”通过等级保护测评（三级），在2023年12月31日前取得符合要求的《信息系统安全等级保护备案证明》即可视为验收合</w:t>
      </w:r>
      <w:r>
        <w:rPr>
          <w:rFonts w:hint="eastAsia" w:asciiTheme="minorEastAsia" w:hAnsiTheme="minorEastAsia" w:eastAsiaTheme="minorEastAsia" w:cstheme="minorEastAsia"/>
          <w:sz w:val="24"/>
          <w:szCs w:val="24"/>
          <w:shd w:val="clear" w:color="auto" w:fill="FFFFFF"/>
        </w:rPr>
        <w:t>格。</w:t>
      </w:r>
    </w:p>
    <w:p>
      <w:pPr>
        <w:pStyle w:val="7"/>
        <w:ind w:left="0" w:leftChars="0" w:firstLine="566" w:firstLineChars="200"/>
        <w:rPr>
          <w:rFonts w:hint="eastAsia" w:ascii="仿宋" w:hAnsi="仿宋" w:eastAsia="仿宋" w:cs="仿宋"/>
          <w:spacing w:val="1"/>
          <w:kern w:val="2"/>
          <w:sz w:val="28"/>
          <w:szCs w:val="24"/>
          <w:lang w:val="en-US" w:eastAsia="zh-CN" w:bidi="ar-SA"/>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5</w:t>
      </w:r>
      <w:r>
        <w:rPr>
          <w:rFonts w:hint="eastAsia" w:asciiTheme="minorEastAsia" w:hAnsiTheme="minorEastAsia" w:eastAsiaTheme="minorEastAsia" w:cstheme="minorEastAsia"/>
          <w:sz w:val="24"/>
          <w:szCs w:val="24"/>
          <w:shd w:val="clear" w:color="auto" w:fill="FFFFFF"/>
        </w:rPr>
        <w:t xml:space="preserve"> </w:t>
      </w:r>
      <w:r>
        <w:rPr>
          <w:rFonts w:hint="eastAsia" w:ascii="仿宋" w:hAnsi="仿宋" w:eastAsia="仿宋" w:cs="仿宋"/>
          <w:b/>
          <w:spacing w:val="1"/>
          <w:sz w:val="28"/>
        </w:rPr>
        <w:t>培训要求：</w:t>
      </w:r>
      <w:r>
        <w:rPr>
          <w:rFonts w:hint="eastAsia" w:ascii="仿宋" w:hAnsi="仿宋" w:eastAsia="仿宋" w:cs="仿宋"/>
          <w:spacing w:val="1"/>
          <w:kern w:val="2"/>
          <w:sz w:val="28"/>
          <w:szCs w:val="24"/>
          <w:lang w:val="en-US" w:eastAsia="zh-CN" w:bidi="ar-SA"/>
        </w:rPr>
        <w:t>投标人结合本项目及招标人实际需要，提供技术培训方案。</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6" w:firstLineChars="200"/>
        <w:textAlignment w:val="auto"/>
        <w:rPr>
          <w:rFonts w:hint="eastAsia" w:ascii="仿宋" w:hAnsi="仿宋" w:eastAsia="仿宋"/>
          <w:color w:val="000000"/>
          <w:sz w:val="28"/>
          <w:szCs w:val="27"/>
          <w:lang w:val="en-US" w:eastAsia="zh-CN"/>
        </w:rPr>
      </w:pPr>
      <w:r>
        <w:rPr>
          <w:rFonts w:hint="eastAsia" w:ascii="仿宋" w:hAnsi="仿宋" w:eastAsia="仿宋" w:cs="仿宋"/>
          <w:b/>
          <w:spacing w:val="1"/>
          <w:kern w:val="2"/>
          <w:sz w:val="28"/>
          <w:szCs w:val="24"/>
          <w:lang w:val="en-US" w:eastAsia="zh-CN" w:bidi="ar-SA"/>
        </w:rPr>
        <w:t>5.3.6 需满足的技术标准和规范：</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5.3.6.1《中华人民共和国计算机信息系统安全保护条例》(国务院令147号)</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5.3.6.2《信息安全等级保护管理办法》（公通字[2007]43号</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5.3.6.3《计算机信息系统安全保护等级划分准则》（GB17859-1999）</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5.3.6.4《信息安全技术网络安全等级保护定级指南》（GB/T22240-2020）</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5.3.6.5《信息安全技术网络安全等级保护基本要求》（GB/T22239-2019)</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5.3.6.6《信息安全技术网络安全等级保护测评要求》（GB/T28448-2019）</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5.3.6.7《信息安全技术网络安全等级保护测评过程指南》（GB/T28449-2018）</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5.3.6.8《信息安全技术网络安全等级保护实施指南》（GB/T 25058-2019）</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5.3.6.9《信息安全技术信息安全风险评估规范》（GB/T20984-2015）</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5.3.6.10《中华人民共和国网络安全法》</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566" w:firstLineChars="200"/>
        <w:textAlignment w:val="auto"/>
        <w:rPr>
          <w:rFonts w:hint="eastAsia" w:ascii="仿宋" w:hAnsi="仿宋" w:eastAsia="仿宋"/>
          <w:color w:val="000000"/>
          <w:sz w:val="28"/>
          <w:szCs w:val="27"/>
          <w:lang w:val="en-US" w:eastAsia="zh-CN"/>
        </w:rPr>
      </w:pPr>
      <w:r>
        <w:rPr>
          <w:rFonts w:hint="eastAsia" w:ascii="仿宋" w:hAnsi="仿宋" w:eastAsia="仿宋" w:cs="仿宋"/>
          <w:b/>
          <w:spacing w:val="1"/>
          <w:kern w:val="2"/>
          <w:sz w:val="28"/>
          <w:szCs w:val="24"/>
          <w:lang w:val="en-US" w:eastAsia="zh-CN" w:bidi="ar-SA"/>
        </w:rPr>
        <w:t>5.3.7 需遵守的技术原则：</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5.3.7.1保密原则：对测评的过程数据和结果数据严格保密，未经授权不得泄露给任何单位和个人，不得利用此数据进行任何侵害采购方的行为，否则采购方有权追究供应商的责任。</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5.3.7.2标准性原则：测评方案的设计与实施应依据国家等级保护的相关标准进行。</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5.3.7.3规范性原则：供应商的工作中的过程和文档，具有很好的规范性，可以便于项目的跟踪和控制，测评出具的报告须符合公安部颁布的《信息系统安全等级测评报告模板》。</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5.3.7.4可控性原则：等保测评服务的进度要按照招标文件 的要求，保证采购方对于测评工作的可控性。</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5.3.7.5整体性原则：等保测评服务的范围和内容应当整体全面，包括国家等级保护相关要求测评要求涉及的各个层面。</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5.3.7.6安全性原则：等保测评服务工作应不得影响系统和网络的正常运行；测评工作不得对现有信息系统的正常运行、业务的正常开展产生任何影响。</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5.3.7.7测评机构资质及人员要求：</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（1）从事信息系统检测评估相关工作人员无违法记录；</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（2）工作人员仅限于中华人民共和国境内的中国公民，且无犯罪记录；</w:t>
      </w:r>
    </w:p>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仿宋" w:hAnsi="仿宋" w:eastAsia="仿宋"/>
          <w:color w:val="000000"/>
          <w:sz w:val="28"/>
          <w:szCs w:val="27"/>
          <w:lang w:val="en-US" w:eastAsia="zh-CN"/>
        </w:rPr>
        <w:t>（3）测评期间需遵守被测单位相关管理规定，禁止利用测评工作从事危害被测单位利益、安全的活动。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2"/>
        <w:tblW w:w="995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94"/>
        <w:gridCol w:w="1021"/>
        <w:gridCol w:w="850"/>
        <w:gridCol w:w="4791"/>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50" w:type="dxa"/>
            <w:vAlign w:val="center"/>
          </w:tcPr>
          <w:p>
            <w:pPr>
              <w:rPr>
                <w:rFonts w:ascii="宋体" w:hAnsi="宋体" w:eastAsia="宋体" w:cs="宋体"/>
                <w:b/>
                <w:bCs/>
                <w:sz w:val="24"/>
              </w:rPr>
            </w:pPr>
            <w:bookmarkStart w:id="0" w:name="_Hlk519689798"/>
            <w:r>
              <w:rPr>
                <w:rFonts w:hint="eastAsia" w:ascii="宋体" w:hAnsi="宋体" w:eastAsia="宋体" w:cs="宋体"/>
                <w:b/>
                <w:bCs/>
                <w:sz w:val="24"/>
              </w:rPr>
              <w:t>序号</w:t>
            </w:r>
          </w:p>
        </w:tc>
        <w:tc>
          <w:tcPr>
            <w:tcW w:w="994" w:type="dxa"/>
            <w:vAlign w:val="center"/>
          </w:tcPr>
          <w:p>
            <w:pPr>
              <w:rPr>
                <w:rFonts w:ascii="宋体" w:hAnsi="宋体" w:eastAsia="宋体" w:cs="宋体"/>
                <w:b/>
                <w:bCs/>
                <w:sz w:val="24"/>
              </w:rPr>
            </w:pPr>
            <w:r>
              <w:rPr>
                <w:rFonts w:hint="eastAsia" w:ascii="宋体" w:hAnsi="宋体" w:eastAsia="宋体" w:cs="宋体"/>
                <w:b/>
                <w:bCs/>
                <w:sz w:val="24"/>
              </w:rPr>
              <w:t>评分因素及权重</w:t>
            </w:r>
          </w:p>
        </w:tc>
        <w:tc>
          <w:tcPr>
            <w:tcW w:w="1871" w:type="dxa"/>
            <w:gridSpan w:val="2"/>
            <w:vAlign w:val="center"/>
          </w:tcPr>
          <w:p>
            <w:pPr>
              <w:ind w:firstLine="361" w:firstLineChars="150"/>
              <w:rPr>
                <w:rFonts w:ascii="宋体" w:hAnsi="宋体" w:eastAsia="宋体" w:cs="宋体"/>
                <w:b/>
                <w:bCs/>
                <w:sz w:val="24"/>
              </w:rPr>
            </w:pPr>
            <w:r>
              <w:rPr>
                <w:rFonts w:hint="eastAsia" w:ascii="宋体" w:hAnsi="宋体" w:eastAsia="宋体" w:cs="宋体"/>
                <w:b/>
                <w:bCs/>
                <w:sz w:val="24"/>
              </w:rPr>
              <w:t>分　值</w:t>
            </w:r>
          </w:p>
        </w:tc>
        <w:tc>
          <w:tcPr>
            <w:tcW w:w="4791" w:type="dxa"/>
            <w:vAlign w:val="center"/>
          </w:tcPr>
          <w:p>
            <w:pPr>
              <w:ind w:firstLine="361" w:firstLineChars="150"/>
              <w:rPr>
                <w:rFonts w:ascii="宋体" w:hAnsi="宋体" w:eastAsia="宋体" w:cs="宋体"/>
                <w:b/>
                <w:bCs/>
                <w:sz w:val="24"/>
              </w:rPr>
            </w:pPr>
            <w:r>
              <w:rPr>
                <w:rFonts w:hint="eastAsia" w:ascii="宋体" w:hAnsi="宋体" w:eastAsia="宋体" w:cs="宋体"/>
                <w:b/>
                <w:bCs/>
                <w:sz w:val="24"/>
              </w:rPr>
              <w:t>评分标准</w:t>
            </w:r>
          </w:p>
        </w:tc>
        <w:tc>
          <w:tcPr>
            <w:tcW w:w="1446" w:type="dxa"/>
            <w:vAlign w:val="center"/>
          </w:tcPr>
          <w:p>
            <w:pPr>
              <w:rPr>
                <w:rFonts w:ascii="宋体" w:hAnsi="宋体" w:eastAsia="宋体" w:cs="宋体"/>
                <w:b/>
                <w:bCs/>
                <w:sz w:val="24"/>
              </w:rPr>
            </w:pPr>
            <w:r>
              <w:rPr>
                <w:rFonts w:hint="eastAsia" w:ascii="宋体" w:hAnsi="宋体" w:eastAsia="宋体" w:cs="宋体"/>
                <w:b/>
                <w:bCs/>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0" w:type="dxa"/>
            <w:vAlign w:val="center"/>
          </w:tcPr>
          <w:p>
            <w:pPr>
              <w:ind w:firstLine="360" w:firstLineChars="150"/>
              <w:rPr>
                <w:rFonts w:ascii="宋体" w:hAnsi="宋体" w:eastAsia="宋体" w:cs="宋体"/>
                <w:kern w:val="0"/>
                <w:sz w:val="24"/>
              </w:rPr>
            </w:pPr>
            <w:r>
              <w:rPr>
                <w:rFonts w:hint="eastAsia" w:ascii="宋体" w:hAnsi="宋体" w:eastAsia="宋体" w:cs="宋体"/>
                <w:kern w:val="0"/>
                <w:sz w:val="24"/>
              </w:rPr>
              <w:t>1</w:t>
            </w:r>
          </w:p>
        </w:tc>
        <w:tc>
          <w:tcPr>
            <w:tcW w:w="994" w:type="dxa"/>
            <w:vAlign w:val="center"/>
          </w:tcPr>
          <w:p>
            <w:pPr>
              <w:rPr>
                <w:rFonts w:ascii="宋体" w:hAnsi="宋体" w:eastAsia="宋体" w:cs="宋体"/>
                <w:kern w:val="0"/>
                <w:sz w:val="24"/>
                <w:highlight w:val="none"/>
              </w:rPr>
            </w:pPr>
            <w:r>
              <w:rPr>
                <w:rFonts w:hint="eastAsia" w:ascii="宋体" w:hAnsi="宋体" w:eastAsia="宋体" w:cs="宋体"/>
                <w:kern w:val="0"/>
                <w:sz w:val="24"/>
                <w:highlight w:val="none"/>
              </w:rPr>
              <w:t>报价</w:t>
            </w:r>
            <w:r>
              <w:rPr>
                <w:rFonts w:hint="eastAsia" w:ascii="宋体" w:hAnsi="宋体" w:eastAsia="宋体" w:cs="宋体"/>
                <w:kern w:val="0"/>
                <w:sz w:val="24"/>
                <w:highlight w:val="none"/>
                <w:lang w:val="en-US" w:eastAsia="zh-CN"/>
              </w:rPr>
              <w:t>23</w:t>
            </w:r>
            <w:r>
              <w:rPr>
                <w:rFonts w:hint="eastAsia" w:ascii="宋体" w:hAnsi="宋体" w:eastAsia="宋体" w:cs="宋体"/>
                <w:kern w:val="0"/>
                <w:sz w:val="24"/>
                <w:highlight w:val="none"/>
              </w:rPr>
              <w:t>%</w:t>
            </w:r>
          </w:p>
        </w:tc>
        <w:tc>
          <w:tcPr>
            <w:tcW w:w="1871" w:type="dxa"/>
            <w:gridSpan w:val="2"/>
            <w:vAlign w:val="center"/>
          </w:tcPr>
          <w:p>
            <w:pPr>
              <w:ind w:firstLine="360" w:firstLineChars="150"/>
              <w:rPr>
                <w:rFonts w:ascii="宋体" w:hAnsi="宋体" w:eastAsia="宋体" w:cs="宋体"/>
                <w:kern w:val="0"/>
                <w:sz w:val="24"/>
                <w:highlight w:val="none"/>
              </w:rPr>
            </w:pPr>
            <w:r>
              <w:rPr>
                <w:rFonts w:hint="eastAsia" w:ascii="宋体" w:hAnsi="宋体" w:eastAsia="宋体" w:cs="宋体"/>
                <w:kern w:val="0"/>
                <w:sz w:val="24"/>
                <w:highlight w:val="none"/>
                <w:lang w:val="en-US" w:eastAsia="zh-CN"/>
              </w:rPr>
              <w:t>23</w:t>
            </w:r>
            <w:r>
              <w:rPr>
                <w:rFonts w:hint="eastAsia" w:ascii="宋体" w:hAnsi="宋体" w:eastAsia="宋体" w:cs="宋体"/>
                <w:kern w:val="0"/>
                <w:sz w:val="24"/>
                <w:highlight w:val="none"/>
              </w:rPr>
              <w:t>分</w:t>
            </w:r>
          </w:p>
        </w:tc>
        <w:tc>
          <w:tcPr>
            <w:tcW w:w="4791" w:type="dxa"/>
            <w:vAlign w:val="center"/>
          </w:tcPr>
          <w:p>
            <w:pPr>
              <w:rPr>
                <w:rFonts w:hint="eastAsia" w:ascii="宋体" w:hAnsi="宋体" w:eastAsia="宋体" w:cs="宋体"/>
                <w:kern w:val="0"/>
                <w:sz w:val="24"/>
                <w:highlight w:val="none"/>
              </w:rPr>
            </w:pPr>
            <w:r>
              <w:rPr>
                <w:rFonts w:hint="eastAsia" w:ascii="宋体" w:hAnsi="宋体" w:eastAsia="宋体" w:cs="宋体"/>
                <w:kern w:val="0"/>
                <w:sz w:val="24"/>
                <w:highlight w:val="none"/>
              </w:rPr>
              <w:t>以满足</w:t>
            </w:r>
            <w:r>
              <w:rPr>
                <w:rFonts w:hint="eastAsia" w:ascii="宋体" w:hAnsi="宋体" w:eastAsia="宋体" w:cs="宋体"/>
                <w:kern w:val="0"/>
                <w:sz w:val="24"/>
                <w:highlight w:val="none"/>
                <w:lang w:val="en-US" w:eastAsia="zh-CN"/>
              </w:rPr>
              <w:t>招标</w:t>
            </w:r>
            <w:r>
              <w:rPr>
                <w:rFonts w:hint="eastAsia" w:ascii="宋体" w:hAnsi="宋体" w:eastAsia="宋体" w:cs="宋体"/>
                <w:kern w:val="0"/>
                <w:sz w:val="24"/>
                <w:highlight w:val="none"/>
              </w:rPr>
              <w:t>文件要求且投标价格最低的投标报价作为基准价，其余投标报价得分=（基准价／投标报价）×</w:t>
            </w:r>
            <w:r>
              <w:rPr>
                <w:rFonts w:hint="eastAsia" w:ascii="宋体" w:hAnsi="宋体" w:eastAsia="宋体" w:cs="宋体"/>
                <w:kern w:val="0"/>
                <w:sz w:val="24"/>
                <w:highlight w:val="none"/>
                <w:lang w:val="en-US" w:eastAsia="zh-CN"/>
              </w:rPr>
              <w:t>23</w:t>
            </w:r>
            <w:r>
              <w:rPr>
                <w:rFonts w:hint="eastAsia" w:ascii="宋体" w:hAnsi="宋体" w:eastAsia="宋体" w:cs="宋体"/>
                <w:kern w:val="0"/>
                <w:sz w:val="24"/>
                <w:highlight w:val="none"/>
              </w:rPr>
              <w:t>×100</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w:t>
            </w:r>
          </w:p>
          <w:p>
            <w:pPr>
              <w:rPr>
                <w:rFonts w:ascii="宋体" w:hAnsi="宋体" w:eastAsia="宋体" w:cs="宋体"/>
                <w:kern w:val="0"/>
                <w:sz w:val="24"/>
                <w:highlight w:val="none"/>
              </w:rPr>
            </w:pPr>
            <w:r>
              <w:rPr>
                <w:rFonts w:hint="eastAsia" w:ascii="宋体" w:hAnsi="宋体" w:eastAsia="宋体" w:cs="宋体"/>
                <w:kern w:val="0"/>
                <w:sz w:val="24"/>
                <w:highlight w:val="none"/>
              </w:rPr>
              <w:t>(保留小数点后两位，第三位四舍五入)</w:t>
            </w:r>
          </w:p>
        </w:tc>
        <w:tc>
          <w:tcPr>
            <w:tcW w:w="1446" w:type="dxa"/>
            <w:vAlign w:val="center"/>
          </w:tcPr>
          <w:p>
            <w:pPr>
              <w:ind w:firstLine="360" w:firstLineChars="150"/>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0" w:type="dxa"/>
            <w:vAlign w:val="center"/>
          </w:tcPr>
          <w:p>
            <w:pPr>
              <w:ind w:firstLine="360" w:firstLineChars="150"/>
              <w:rPr>
                <w:rFonts w:ascii="宋体" w:hAnsi="宋体" w:eastAsia="宋体" w:cs="宋体"/>
                <w:kern w:val="0"/>
                <w:sz w:val="24"/>
              </w:rPr>
            </w:pPr>
            <w:r>
              <w:rPr>
                <w:rFonts w:hint="eastAsia" w:ascii="宋体" w:hAnsi="宋体" w:eastAsia="宋体" w:cs="宋体"/>
                <w:kern w:val="0"/>
                <w:sz w:val="24"/>
              </w:rPr>
              <w:t>2</w:t>
            </w:r>
          </w:p>
        </w:tc>
        <w:tc>
          <w:tcPr>
            <w:tcW w:w="994" w:type="dxa"/>
            <w:vMerge w:val="restart"/>
            <w:vAlign w:val="center"/>
          </w:tcPr>
          <w:p>
            <w:pPr>
              <w:jc w:val="left"/>
              <w:rPr>
                <w:rFonts w:ascii="宋体" w:hAnsi="宋体" w:eastAsia="宋体" w:cs="宋体"/>
                <w:kern w:val="0"/>
                <w:sz w:val="24"/>
              </w:rPr>
            </w:pPr>
            <w:r>
              <w:rPr>
                <w:rFonts w:hint="eastAsia" w:ascii="宋体" w:hAnsi="宋体" w:eastAsia="宋体" w:cs="宋体"/>
                <w:kern w:val="0"/>
                <w:sz w:val="24"/>
                <w:lang w:val="en-US" w:eastAsia="zh-CN"/>
              </w:rPr>
              <w:t>履约能力</w:t>
            </w:r>
            <w:r>
              <w:rPr>
                <w:rFonts w:hint="eastAsia" w:ascii="宋体" w:hAnsi="宋体" w:eastAsia="宋体" w:cs="宋体"/>
                <w:kern w:val="0"/>
                <w:sz w:val="24"/>
              </w:rPr>
              <w:t>20%</w:t>
            </w:r>
            <w:bookmarkStart w:id="1" w:name="_GoBack"/>
            <w:bookmarkEnd w:id="1"/>
          </w:p>
        </w:tc>
        <w:tc>
          <w:tcPr>
            <w:tcW w:w="1021" w:type="dxa"/>
            <w:vAlign w:val="center"/>
          </w:tcPr>
          <w:p>
            <w:pPr>
              <w:jc w:val="left"/>
              <w:rPr>
                <w:rFonts w:ascii="宋体" w:hAnsi="宋体" w:eastAsia="宋体" w:cs="宋体"/>
                <w:kern w:val="0"/>
                <w:sz w:val="24"/>
              </w:rPr>
            </w:pPr>
            <w:r>
              <w:rPr>
                <w:rFonts w:hint="eastAsia" w:ascii="宋体" w:hAnsi="宋体" w:eastAsia="宋体" w:cs="宋体"/>
                <w:kern w:val="0"/>
                <w:sz w:val="24"/>
              </w:rPr>
              <w:t>质量体系</w:t>
            </w:r>
          </w:p>
        </w:tc>
        <w:tc>
          <w:tcPr>
            <w:tcW w:w="850" w:type="dxa"/>
            <w:vAlign w:val="center"/>
          </w:tcPr>
          <w:p>
            <w:pPr>
              <w:rPr>
                <w:rFonts w:ascii="宋体" w:hAnsi="宋体" w:eastAsia="宋体" w:cs="宋体"/>
                <w:kern w:val="0"/>
                <w:sz w:val="24"/>
              </w:rPr>
            </w:pPr>
            <w:r>
              <w:rPr>
                <w:rFonts w:hint="eastAsia" w:ascii="宋体" w:hAnsi="宋体" w:eastAsia="宋体" w:cs="宋体"/>
                <w:kern w:val="0"/>
                <w:sz w:val="24"/>
              </w:rPr>
              <w:t>10分</w:t>
            </w:r>
          </w:p>
        </w:tc>
        <w:tc>
          <w:tcPr>
            <w:tcW w:w="4791" w:type="dxa"/>
            <w:vAlign w:val="center"/>
          </w:tcPr>
          <w:p>
            <w:pPr>
              <w:ind w:firstLine="360" w:firstLineChars="150"/>
              <w:rPr>
                <w:rFonts w:ascii="宋体" w:hAnsi="宋体" w:eastAsia="宋体" w:cs="宋体"/>
                <w:kern w:val="0"/>
                <w:sz w:val="24"/>
              </w:rPr>
            </w:pPr>
            <w:r>
              <w:rPr>
                <w:rFonts w:hint="eastAsia" w:ascii="宋体" w:hAnsi="宋体" w:eastAsia="宋体" w:cs="宋体"/>
                <w:kern w:val="0"/>
                <w:sz w:val="24"/>
              </w:rPr>
              <w:t>1.供应商通过质量体系认证，且认证范围包括“信息安全等级保护测试评估服务”得2分；</w:t>
            </w:r>
          </w:p>
          <w:p>
            <w:pPr>
              <w:ind w:firstLine="360" w:firstLineChars="150"/>
              <w:rPr>
                <w:rFonts w:ascii="宋体" w:hAnsi="宋体" w:eastAsia="宋体" w:cs="宋体"/>
                <w:kern w:val="0"/>
                <w:sz w:val="24"/>
              </w:rPr>
            </w:pPr>
            <w:r>
              <w:rPr>
                <w:rFonts w:hint="eastAsia" w:ascii="宋体" w:hAnsi="宋体" w:eastAsia="宋体" w:cs="宋体"/>
                <w:kern w:val="0"/>
                <w:sz w:val="24"/>
              </w:rPr>
              <w:t>2.供应商通过信息安全管理系统认证，且认证范围包括“信息安全等级保护测试评估服务”得2分；</w:t>
            </w:r>
          </w:p>
          <w:p>
            <w:pPr>
              <w:ind w:firstLine="360" w:firstLineChars="150"/>
              <w:rPr>
                <w:rFonts w:ascii="宋体" w:hAnsi="宋体" w:eastAsia="宋体" w:cs="宋体"/>
                <w:kern w:val="0"/>
                <w:sz w:val="24"/>
              </w:rPr>
            </w:pPr>
            <w:r>
              <w:rPr>
                <w:rFonts w:hint="eastAsia" w:ascii="宋体" w:hAnsi="宋体" w:eastAsia="宋体" w:cs="宋体"/>
                <w:kern w:val="0"/>
                <w:sz w:val="24"/>
              </w:rPr>
              <w:t>3.供应商通过环境管理体系认证，且认证范围包括“信息安全等级保护测试评估服务”得2分；</w:t>
            </w:r>
          </w:p>
          <w:p>
            <w:pPr>
              <w:ind w:firstLine="360" w:firstLineChars="150"/>
              <w:rPr>
                <w:rFonts w:ascii="宋体" w:hAnsi="宋体" w:eastAsia="宋体" w:cs="宋体"/>
                <w:kern w:val="0"/>
                <w:sz w:val="24"/>
              </w:rPr>
            </w:pPr>
            <w:r>
              <w:rPr>
                <w:rFonts w:hint="eastAsia" w:ascii="宋体" w:hAnsi="宋体" w:eastAsia="宋体" w:cs="宋体"/>
                <w:kern w:val="0"/>
                <w:sz w:val="24"/>
              </w:rPr>
              <w:t>4.供应商通过职业健康安全管理系统认证，且认证范围包括“信息安全等级保护测试评估服务”得2分；</w:t>
            </w:r>
          </w:p>
          <w:p>
            <w:pPr>
              <w:ind w:firstLine="360" w:firstLineChars="150"/>
              <w:rPr>
                <w:rFonts w:ascii="宋体" w:hAnsi="宋体" w:eastAsia="宋体" w:cs="宋体"/>
                <w:kern w:val="0"/>
                <w:sz w:val="24"/>
              </w:rPr>
            </w:pPr>
            <w:r>
              <w:rPr>
                <w:rFonts w:hint="eastAsia" w:ascii="宋体" w:hAnsi="宋体" w:eastAsia="宋体" w:cs="宋体"/>
                <w:kern w:val="0"/>
                <w:sz w:val="24"/>
              </w:rPr>
              <w:t>5.具有省级及以上质量技术监督部门颁发的检验检测机构资质认定证书（CMA）或中国合格评定国家认可委员会（CNAS）颁发的实验室认可证书得2分</w:t>
            </w:r>
          </w:p>
          <w:p>
            <w:pPr>
              <w:ind w:firstLine="360" w:firstLineChars="150"/>
              <w:rPr>
                <w:rFonts w:ascii="宋体" w:hAnsi="宋体" w:eastAsia="宋体" w:cs="宋体"/>
                <w:kern w:val="0"/>
                <w:sz w:val="24"/>
              </w:rPr>
            </w:pPr>
            <w:r>
              <w:rPr>
                <w:rFonts w:hint="eastAsia" w:ascii="宋体" w:hAnsi="宋体" w:eastAsia="宋体" w:cs="宋体"/>
                <w:kern w:val="0"/>
                <w:sz w:val="24"/>
              </w:rPr>
              <w:t>注：认证范围不符合，不得分。</w:t>
            </w:r>
          </w:p>
        </w:tc>
        <w:tc>
          <w:tcPr>
            <w:tcW w:w="1446" w:type="dxa"/>
            <w:vAlign w:val="center"/>
          </w:tcPr>
          <w:p>
            <w:pPr>
              <w:rPr>
                <w:rFonts w:hint="default" w:ascii="宋体" w:hAnsi="宋体" w:eastAsia="宋体" w:cs="宋体"/>
                <w:kern w:val="0"/>
                <w:sz w:val="24"/>
                <w:lang w:val="en-US" w:eastAsia="zh-CN"/>
              </w:rPr>
            </w:pPr>
            <w:r>
              <w:rPr>
                <w:rFonts w:hint="eastAsia" w:ascii="宋体" w:hAnsi="宋体" w:eastAsia="宋体" w:cs="宋体"/>
                <w:kern w:val="0"/>
                <w:sz w:val="24"/>
              </w:rPr>
              <w:t>资质或资格证书加盖投标人公章</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没有或不提供，不得分。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850" w:type="dxa"/>
            <w:vAlign w:val="center"/>
          </w:tcPr>
          <w:p>
            <w:pPr>
              <w:ind w:firstLine="360" w:firstLineChars="150"/>
              <w:rPr>
                <w:rFonts w:ascii="宋体" w:hAnsi="宋体" w:eastAsia="宋体" w:cs="宋体"/>
                <w:kern w:val="0"/>
                <w:sz w:val="24"/>
              </w:rPr>
            </w:pPr>
            <w:r>
              <w:rPr>
                <w:rFonts w:hint="eastAsia" w:ascii="宋体" w:hAnsi="宋体" w:eastAsia="宋体" w:cs="宋体"/>
                <w:kern w:val="0"/>
                <w:sz w:val="24"/>
              </w:rPr>
              <w:t>3</w:t>
            </w:r>
          </w:p>
        </w:tc>
        <w:tc>
          <w:tcPr>
            <w:tcW w:w="994" w:type="dxa"/>
            <w:vMerge w:val="continue"/>
            <w:vAlign w:val="center"/>
          </w:tcPr>
          <w:p>
            <w:pPr>
              <w:ind w:firstLine="360" w:firstLineChars="150"/>
              <w:rPr>
                <w:rFonts w:ascii="宋体" w:hAnsi="宋体" w:eastAsia="宋体" w:cs="宋体"/>
                <w:kern w:val="0"/>
                <w:sz w:val="24"/>
              </w:rPr>
            </w:pPr>
          </w:p>
        </w:tc>
        <w:tc>
          <w:tcPr>
            <w:tcW w:w="1021" w:type="dxa"/>
            <w:vAlign w:val="center"/>
          </w:tcPr>
          <w:p>
            <w:pPr>
              <w:jc w:val="left"/>
              <w:rPr>
                <w:rFonts w:ascii="宋体" w:hAnsi="宋体" w:eastAsia="宋体" w:cs="宋体"/>
                <w:kern w:val="0"/>
                <w:sz w:val="24"/>
              </w:rPr>
            </w:pPr>
            <w:r>
              <w:rPr>
                <w:rFonts w:hint="eastAsia" w:ascii="宋体" w:hAnsi="宋体" w:eastAsia="宋体" w:cs="宋体"/>
                <w:kern w:val="0"/>
                <w:sz w:val="24"/>
              </w:rPr>
              <w:t>履约经验</w:t>
            </w:r>
          </w:p>
        </w:tc>
        <w:tc>
          <w:tcPr>
            <w:tcW w:w="850" w:type="dxa"/>
            <w:vAlign w:val="center"/>
          </w:tcPr>
          <w:p>
            <w:pPr>
              <w:rPr>
                <w:rFonts w:ascii="宋体" w:hAnsi="宋体" w:eastAsia="宋体" w:cs="宋体"/>
                <w:kern w:val="0"/>
                <w:sz w:val="24"/>
              </w:rPr>
            </w:pPr>
            <w:r>
              <w:rPr>
                <w:rFonts w:hint="eastAsia" w:ascii="宋体" w:hAnsi="宋体" w:eastAsia="宋体" w:cs="宋体"/>
                <w:kern w:val="0"/>
                <w:sz w:val="24"/>
              </w:rPr>
              <w:t>10分</w:t>
            </w:r>
          </w:p>
        </w:tc>
        <w:tc>
          <w:tcPr>
            <w:tcW w:w="4791" w:type="dxa"/>
            <w:vAlign w:val="center"/>
          </w:tcPr>
          <w:p>
            <w:pPr>
              <w:ind w:firstLine="360" w:firstLineChars="150"/>
              <w:rPr>
                <w:rFonts w:ascii="宋体" w:hAnsi="宋体" w:eastAsia="宋体" w:cs="宋体"/>
                <w:kern w:val="0"/>
                <w:sz w:val="24"/>
              </w:rPr>
            </w:pPr>
            <w:r>
              <w:rPr>
                <w:rFonts w:hint="eastAsia" w:ascii="宋体" w:hAnsi="宋体" w:eastAsia="宋体" w:cs="宋体"/>
                <w:kern w:val="0"/>
                <w:sz w:val="24"/>
              </w:rPr>
              <w:t>供应商自2020年1月1日至今每有一个等保测评相关案例得1分，最多得10分。</w:t>
            </w:r>
          </w:p>
        </w:tc>
        <w:tc>
          <w:tcPr>
            <w:tcW w:w="1446" w:type="dxa"/>
            <w:vAlign w:val="center"/>
          </w:tcPr>
          <w:p>
            <w:pPr>
              <w:rPr>
                <w:rFonts w:ascii="宋体" w:hAnsi="宋体" w:eastAsia="宋体" w:cs="宋体"/>
                <w:kern w:val="0"/>
                <w:sz w:val="24"/>
              </w:rPr>
            </w:pPr>
            <w:r>
              <w:rPr>
                <w:rFonts w:hint="eastAsia" w:ascii="宋体" w:hAnsi="宋体" w:eastAsia="宋体" w:cs="宋体"/>
                <w:kern w:val="0"/>
                <w:sz w:val="24"/>
              </w:rPr>
              <w:t>提供相关合同复印件或授权书加盖投标人公章。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0" w:type="dxa"/>
            <w:vMerge w:val="restart"/>
            <w:vAlign w:val="center"/>
          </w:tcPr>
          <w:p>
            <w:pPr>
              <w:ind w:firstLine="360" w:firstLineChars="150"/>
              <w:rPr>
                <w:rFonts w:ascii="宋体" w:hAnsi="宋体" w:eastAsia="宋体" w:cs="宋体"/>
                <w:kern w:val="0"/>
                <w:sz w:val="24"/>
              </w:rPr>
            </w:pPr>
            <w:r>
              <w:rPr>
                <w:rFonts w:hint="eastAsia" w:ascii="宋体" w:hAnsi="宋体" w:eastAsia="宋体" w:cs="宋体"/>
                <w:kern w:val="0"/>
                <w:sz w:val="24"/>
              </w:rPr>
              <w:t>4</w:t>
            </w:r>
          </w:p>
        </w:tc>
        <w:tc>
          <w:tcPr>
            <w:tcW w:w="994" w:type="dxa"/>
            <w:vMerge w:val="restart"/>
            <w:vAlign w:val="center"/>
          </w:tcPr>
          <w:p>
            <w:pPr>
              <w:rPr>
                <w:rFonts w:ascii="宋体" w:hAnsi="宋体" w:eastAsia="宋体" w:cs="宋体"/>
                <w:kern w:val="0"/>
                <w:sz w:val="24"/>
              </w:rPr>
            </w:pPr>
            <w:r>
              <w:rPr>
                <w:rFonts w:hint="eastAsia" w:ascii="宋体" w:hAnsi="宋体" w:eastAsia="宋体" w:cs="宋体"/>
                <w:kern w:val="0"/>
                <w:sz w:val="24"/>
              </w:rPr>
              <w:t>测评团队能力要求44%</w:t>
            </w:r>
          </w:p>
        </w:tc>
        <w:tc>
          <w:tcPr>
            <w:tcW w:w="1021" w:type="dxa"/>
            <w:vAlign w:val="center"/>
          </w:tcPr>
          <w:p>
            <w:pPr>
              <w:jc w:val="left"/>
              <w:rPr>
                <w:rFonts w:ascii="宋体" w:hAnsi="宋体" w:eastAsia="宋体" w:cs="宋体"/>
                <w:kern w:val="0"/>
                <w:sz w:val="24"/>
              </w:rPr>
            </w:pPr>
            <w:r>
              <w:rPr>
                <w:rFonts w:hint="eastAsia" w:ascii="宋体" w:hAnsi="宋体" w:eastAsia="宋体" w:cs="宋体"/>
                <w:kern w:val="0"/>
                <w:sz w:val="24"/>
              </w:rPr>
              <w:t>项目总测评师</w:t>
            </w:r>
          </w:p>
        </w:tc>
        <w:tc>
          <w:tcPr>
            <w:tcW w:w="850" w:type="dxa"/>
            <w:vAlign w:val="center"/>
          </w:tcPr>
          <w:p>
            <w:pPr>
              <w:rPr>
                <w:rFonts w:ascii="宋体" w:hAnsi="宋体" w:eastAsia="宋体" w:cs="宋体"/>
                <w:kern w:val="0"/>
                <w:sz w:val="24"/>
              </w:rPr>
            </w:pPr>
            <w:r>
              <w:rPr>
                <w:rFonts w:hint="eastAsia" w:ascii="宋体" w:hAnsi="宋体" w:eastAsia="宋体" w:cs="宋体"/>
                <w:kern w:val="0"/>
                <w:sz w:val="24"/>
              </w:rPr>
              <w:t>14分</w:t>
            </w:r>
          </w:p>
        </w:tc>
        <w:tc>
          <w:tcPr>
            <w:tcW w:w="4791" w:type="dxa"/>
            <w:vAlign w:val="center"/>
          </w:tcPr>
          <w:p>
            <w:pPr>
              <w:rPr>
                <w:rFonts w:ascii="宋体" w:hAnsi="宋体" w:eastAsia="宋体" w:cs="宋体"/>
                <w:kern w:val="0"/>
                <w:sz w:val="24"/>
              </w:rPr>
            </w:pPr>
            <w:r>
              <w:rPr>
                <w:rFonts w:hint="eastAsia" w:ascii="宋体" w:hAnsi="宋体" w:eastAsia="宋体" w:cs="宋体"/>
                <w:kern w:val="0"/>
                <w:sz w:val="24"/>
              </w:rPr>
              <w:t>供应商为本项目配备的总测评师网络安全等级测评师高级证书同时具备以下证书：</w:t>
            </w:r>
          </w:p>
          <w:p>
            <w:pPr>
              <w:rPr>
                <w:rFonts w:ascii="宋体" w:hAnsi="宋体" w:eastAsia="宋体" w:cs="宋体"/>
                <w:kern w:val="0"/>
                <w:sz w:val="24"/>
              </w:rPr>
            </w:pPr>
            <w:r>
              <w:rPr>
                <w:rFonts w:hint="eastAsia" w:ascii="宋体" w:hAnsi="宋体" w:eastAsia="宋体" w:cs="宋体"/>
                <w:kern w:val="0"/>
                <w:sz w:val="24"/>
              </w:rPr>
              <w:t>a.具有互联网安全评估师高级证书（CIISA）</w:t>
            </w:r>
          </w:p>
          <w:p>
            <w:pPr>
              <w:rPr>
                <w:rFonts w:ascii="宋体" w:hAnsi="宋体" w:eastAsia="宋体" w:cs="宋体"/>
                <w:kern w:val="0"/>
                <w:sz w:val="24"/>
              </w:rPr>
            </w:pPr>
            <w:r>
              <w:rPr>
                <w:rFonts w:hint="eastAsia" w:ascii="宋体" w:hAnsi="宋体" w:eastAsia="宋体" w:cs="宋体"/>
                <w:kern w:val="0"/>
                <w:sz w:val="24"/>
              </w:rPr>
              <w:t>b.计算机技术与软件专业资格信息安全工程师（软考类）、</w:t>
            </w:r>
          </w:p>
          <w:p>
            <w:pPr>
              <w:rPr>
                <w:rFonts w:ascii="宋体" w:hAnsi="宋体" w:eastAsia="宋体" w:cs="宋体"/>
                <w:kern w:val="0"/>
                <w:sz w:val="24"/>
              </w:rPr>
            </w:pPr>
            <w:r>
              <w:rPr>
                <w:rFonts w:hint="eastAsia" w:ascii="宋体" w:hAnsi="宋体" w:eastAsia="宋体" w:cs="宋体"/>
                <w:kern w:val="0"/>
                <w:sz w:val="24"/>
              </w:rPr>
              <w:t>c.国家重要信息系统保护人员证书的（CIIP-A）</w:t>
            </w:r>
          </w:p>
          <w:p>
            <w:pPr>
              <w:rPr>
                <w:rFonts w:ascii="宋体" w:hAnsi="宋体" w:eastAsia="宋体" w:cs="宋体"/>
                <w:kern w:val="0"/>
                <w:sz w:val="24"/>
              </w:rPr>
            </w:pPr>
            <w:r>
              <w:rPr>
                <w:rFonts w:hint="eastAsia" w:ascii="宋体" w:hAnsi="宋体" w:eastAsia="宋体" w:cs="宋体"/>
                <w:kern w:val="0"/>
                <w:sz w:val="24"/>
              </w:rPr>
              <w:t>d.商用密码应用安全性评估人员能力合格证书</w:t>
            </w:r>
          </w:p>
          <w:p>
            <w:pPr>
              <w:rPr>
                <w:rFonts w:ascii="宋体" w:hAnsi="宋体" w:eastAsia="宋体" w:cs="宋体"/>
                <w:kern w:val="0"/>
                <w:sz w:val="24"/>
              </w:rPr>
            </w:pPr>
            <w:r>
              <w:rPr>
                <w:rFonts w:hint="eastAsia" w:ascii="宋体" w:hAnsi="宋体" w:eastAsia="宋体" w:cs="宋体"/>
                <w:kern w:val="0"/>
                <w:sz w:val="24"/>
              </w:rPr>
              <w:t>e.系统架构师（高级）</w:t>
            </w:r>
          </w:p>
          <w:p>
            <w:pPr>
              <w:rPr>
                <w:rFonts w:ascii="宋体" w:hAnsi="宋体" w:eastAsia="宋体" w:cs="宋体"/>
                <w:kern w:val="0"/>
                <w:sz w:val="24"/>
              </w:rPr>
            </w:pPr>
            <w:r>
              <w:rPr>
                <w:rFonts w:hint="eastAsia" w:ascii="宋体" w:hAnsi="宋体" w:eastAsia="宋体" w:cs="宋体"/>
                <w:kern w:val="0"/>
                <w:sz w:val="24"/>
              </w:rPr>
              <w:t>f.网络信息安全工程证书</w:t>
            </w:r>
          </w:p>
          <w:p>
            <w:pPr>
              <w:rPr>
                <w:rFonts w:ascii="宋体" w:hAnsi="宋体" w:eastAsia="宋体" w:cs="宋体"/>
                <w:kern w:val="0"/>
                <w:sz w:val="24"/>
              </w:rPr>
            </w:pPr>
            <w:r>
              <w:rPr>
                <w:rFonts w:hint="eastAsia" w:ascii="宋体" w:hAnsi="宋体" w:eastAsia="宋体" w:cs="宋体"/>
                <w:kern w:val="0"/>
                <w:sz w:val="24"/>
              </w:rPr>
              <w:t>g.网络安全管理（I级）</w:t>
            </w:r>
          </w:p>
          <w:p>
            <w:pPr>
              <w:rPr>
                <w:rFonts w:ascii="宋体" w:hAnsi="宋体" w:eastAsia="宋体" w:cs="宋体"/>
                <w:kern w:val="0"/>
                <w:sz w:val="24"/>
              </w:rPr>
            </w:pPr>
            <w:r>
              <w:rPr>
                <w:rFonts w:hint="eastAsia" w:ascii="宋体" w:hAnsi="宋体" w:eastAsia="宋体" w:cs="宋体"/>
                <w:kern w:val="0"/>
                <w:sz w:val="24"/>
              </w:rPr>
              <w:t>全部满足得14分，缺少一项扣2分</w:t>
            </w:r>
          </w:p>
        </w:tc>
        <w:tc>
          <w:tcPr>
            <w:tcW w:w="1446" w:type="dxa"/>
            <w:vMerge w:val="restart"/>
            <w:vAlign w:val="center"/>
          </w:tcPr>
          <w:p>
            <w:pPr>
              <w:rPr>
                <w:rFonts w:ascii="宋体" w:hAnsi="宋体" w:eastAsia="宋体" w:cs="宋体"/>
                <w:kern w:val="0"/>
                <w:sz w:val="24"/>
              </w:rPr>
            </w:pPr>
          </w:p>
          <w:p>
            <w:pPr>
              <w:ind w:firstLine="360" w:firstLineChars="150"/>
              <w:rPr>
                <w:rFonts w:ascii="宋体" w:hAnsi="宋体" w:eastAsia="宋体" w:cs="宋体"/>
                <w:kern w:val="0"/>
                <w:sz w:val="24"/>
              </w:rPr>
            </w:pPr>
            <w:r>
              <w:rPr>
                <w:rFonts w:hint="eastAsia" w:ascii="宋体" w:hAnsi="宋体" w:eastAsia="宋体" w:cs="宋体"/>
                <w:kern w:val="0"/>
                <w:sz w:val="24"/>
              </w:rPr>
              <w:t>①拟配人员需提供本单位投标截止前连续三个月社保证明材料；</w:t>
            </w:r>
          </w:p>
          <w:p>
            <w:pPr>
              <w:ind w:firstLine="360" w:firstLineChars="150"/>
              <w:rPr>
                <w:rFonts w:ascii="宋体" w:hAnsi="宋体" w:eastAsia="宋体" w:cs="宋体"/>
                <w:kern w:val="0"/>
                <w:sz w:val="24"/>
              </w:rPr>
            </w:pPr>
            <w:r>
              <w:rPr>
                <w:rFonts w:hint="eastAsia" w:ascii="宋体" w:hAnsi="宋体" w:eastAsia="宋体" w:cs="宋体"/>
                <w:kern w:val="0"/>
                <w:sz w:val="24"/>
              </w:rPr>
              <w:t>②提供证书复印件并加盖供应商单位公章。</w:t>
            </w:r>
          </w:p>
          <w:p>
            <w:pPr>
              <w:ind w:firstLine="360" w:firstLineChars="150"/>
              <w:rPr>
                <w:rFonts w:ascii="宋体" w:hAnsi="宋体" w:eastAsia="宋体" w:cs="宋体"/>
                <w:kern w:val="0"/>
                <w:sz w:val="24"/>
              </w:rPr>
            </w:pPr>
            <w:r>
              <w:rPr>
                <w:rFonts w:hint="eastAsia" w:ascii="宋体" w:hAnsi="宋体" w:eastAsia="宋体" w:cs="宋体"/>
                <w:kern w:val="0"/>
                <w:sz w:val="24"/>
              </w:rPr>
              <w:t>③拟派项目组负责人与现场测评经理不得兼任；</w:t>
            </w:r>
          </w:p>
          <w:p>
            <w:pPr>
              <w:ind w:firstLine="360" w:firstLineChars="150"/>
              <w:rPr>
                <w:rFonts w:ascii="宋体" w:hAnsi="宋体" w:eastAsia="宋体" w:cs="宋体"/>
                <w:kern w:val="0"/>
                <w:sz w:val="24"/>
              </w:rPr>
            </w:pPr>
            <w:r>
              <w:rPr>
                <w:rFonts w:hint="eastAsia" w:ascii="宋体" w:hAnsi="宋体" w:eastAsia="宋体" w:cs="宋体"/>
                <w:kern w:val="0"/>
                <w:sz w:val="24"/>
              </w:rPr>
              <w:t>④3.1款中拟派的其余测评人员，同一人拥有多个证书的以最高单项计分，不累加得分。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50" w:type="dxa"/>
            <w:vMerge w:val="continue"/>
            <w:vAlign w:val="center"/>
          </w:tcPr>
          <w:p>
            <w:pPr>
              <w:ind w:firstLine="360" w:firstLineChars="150"/>
              <w:rPr>
                <w:rFonts w:ascii="宋体" w:hAnsi="宋体" w:eastAsia="宋体" w:cs="宋体"/>
                <w:kern w:val="0"/>
                <w:sz w:val="24"/>
              </w:rPr>
            </w:pPr>
          </w:p>
        </w:tc>
        <w:tc>
          <w:tcPr>
            <w:tcW w:w="994" w:type="dxa"/>
            <w:vMerge w:val="continue"/>
            <w:vAlign w:val="center"/>
          </w:tcPr>
          <w:p>
            <w:pPr>
              <w:ind w:firstLine="360" w:firstLineChars="150"/>
              <w:rPr>
                <w:rFonts w:ascii="宋体" w:hAnsi="宋体" w:eastAsia="宋体" w:cs="宋体"/>
                <w:kern w:val="0"/>
                <w:sz w:val="24"/>
              </w:rPr>
            </w:pPr>
          </w:p>
        </w:tc>
        <w:tc>
          <w:tcPr>
            <w:tcW w:w="1021" w:type="dxa"/>
            <w:vAlign w:val="center"/>
          </w:tcPr>
          <w:p>
            <w:pPr>
              <w:jc w:val="left"/>
              <w:rPr>
                <w:rFonts w:ascii="宋体" w:hAnsi="宋体" w:eastAsia="宋体" w:cs="宋体"/>
                <w:kern w:val="0"/>
                <w:sz w:val="24"/>
              </w:rPr>
            </w:pPr>
            <w:r>
              <w:rPr>
                <w:rFonts w:hint="eastAsia" w:ascii="宋体" w:hAnsi="宋体" w:eastAsia="宋体" w:cs="宋体"/>
                <w:kern w:val="0"/>
                <w:sz w:val="24"/>
              </w:rPr>
              <w:t>项目经理</w:t>
            </w:r>
          </w:p>
        </w:tc>
        <w:tc>
          <w:tcPr>
            <w:tcW w:w="850" w:type="dxa"/>
            <w:vAlign w:val="center"/>
          </w:tcPr>
          <w:p>
            <w:pPr>
              <w:rPr>
                <w:rFonts w:ascii="宋体" w:hAnsi="宋体" w:eastAsia="宋体" w:cs="宋体"/>
                <w:kern w:val="0"/>
                <w:sz w:val="24"/>
              </w:rPr>
            </w:pPr>
            <w:r>
              <w:rPr>
                <w:rFonts w:hint="eastAsia" w:ascii="宋体" w:hAnsi="宋体" w:eastAsia="宋体" w:cs="宋体"/>
                <w:kern w:val="0"/>
                <w:sz w:val="24"/>
              </w:rPr>
              <w:t>14分</w:t>
            </w:r>
          </w:p>
        </w:tc>
        <w:tc>
          <w:tcPr>
            <w:tcW w:w="4791" w:type="dxa"/>
            <w:vAlign w:val="center"/>
          </w:tcPr>
          <w:p>
            <w:pPr>
              <w:rPr>
                <w:rFonts w:ascii="宋体" w:hAnsi="宋体" w:eastAsia="宋体" w:cs="宋体"/>
                <w:kern w:val="0"/>
                <w:sz w:val="24"/>
              </w:rPr>
            </w:pPr>
            <w:r>
              <w:rPr>
                <w:rFonts w:hint="eastAsia" w:ascii="宋体" w:hAnsi="宋体" w:eastAsia="宋体" w:cs="宋体"/>
                <w:kern w:val="0"/>
                <w:sz w:val="24"/>
              </w:rPr>
              <w:t>项目经理具有信息安全等级测评师高级证书同时具备以下证书：</w:t>
            </w:r>
          </w:p>
          <w:p>
            <w:pPr>
              <w:rPr>
                <w:rFonts w:ascii="宋体" w:hAnsi="宋体" w:eastAsia="宋体" w:cs="宋体"/>
                <w:kern w:val="0"/>
                <w:sz w:val="24"/>
              </w:rPr>
            </w:pPr>
            <w:r>
              <w:rPr>
                <w:rFonts w:hint="eastAsia" w:ascii="宋体" w:hAnsi="宋体" w:eastAsia="宋体" w:cs="宋体"/>
                <w:kern w:val="0"/>
                <w:sz w:val="24"/>
              </w:rPr>
              <w:t>a.注册信息安全专业人员证书（CISP）</w:t>
            </w:r>
          </w:p>
          <w:p>
            <w:pPr>
              <w:rPr>
                <w:rFonts w:ascii="宋体" w:hAnsi="宋体" w:eastAsia="宋体" w:cs="宋体"/>
                <w:kern w:val="0"/>
                <w:sz w:val="24"/>
              </w:rPr>
            </w:pPr>
            <w:r>
              <w:rPr>
                <w:rFonts w:hint="eastAsia" w:ascii="宋体" w:hAnsi="宋体" w:eastAsia="宋体" w:cs="宋体"/>
                <w:kern w:val="0"/>
                <w:sz w:val="24"/>
              </w:rPr>
              <w:t>b.信息安全保障人员认证证书（CISAW）认证方向：风险管理（专业级）</w:t>
            </w:r>
          </w:p>
          <w:p>
            <w:pPr>
              <w:rPr>
                <w:rFonts w:ascii="宋体" w:hAnsi="宋体" w:eastAsia="宋体" w:cs="宋体"/>
                <w:kern w:val="0"/>
                <w:sz w:val="24"/>
              </w:rPr>
            </w:pPr>
            <w:r>
              <w:rPr>
                <w:rFonts w:hint="eastAsia" w:ascii="宋体" w:hAnsi="宋体" w:eastAsia="宋体" w:cs="宋体"/>
                <w:kern w:val="0"/>
                <w:sz w:val="24"/>
              </w:rPr>
              <w:t>c.注册云安全系统认证专家 (CCSSP)</w:t>
            </w:r>
          </w:p>
          <w:p>
            <w:pPr>
              <w:rPr>
                <w:rFonts w:ascii="宋体" w:hAnsi="宋体" w:eastAsia="宋体" w:cs="宋体"/>
                <w:kern w:val="0"/>
                <w:sz w:val="24"/>
              </w:rPr>
            </w:pPr>
            <w:r>
              <w:rPr>
                <w:rFonts w:hint="eastAsia" w:ascii="宋体" w:hAnsi="宋体" w:eastAsia="宋体" w:cs="宋体"/>
                <w:kern w:val="0"/>
                <w:sz w:val="24"/>
              </w:rPr>
              <w:t>d.网络工程师（高级）</w:t>
            </w:r>
          </w:p>
          <w:p>
            <w:pPr>
              <w:rPr>
                <w:rFonts w:ascii="宋体" w:hAnsi="宋体" w:eastAsia="宋体" w:cs="宋体"/>
                <w:kern w:val="0"/>
                <w:sz w:val="24"/>
              </w:rPr>
            </w:pPr>
            <w:r>
              <w:rPr>
                <w:rFonts w:hint="eastAsia" w:ascii="宋体" w:hAnsi="宋体" w:eastAsia="宋体" w:cs="宋体"/>
                <w:kern w:val="0"/>
                <w:sz w:val="24"/>
              </w:rPr>
              <w:t>f.软件性能测评师高级</w:t>
            </w:r>
          </w:p>
          <w:p>
            <w:pPr>
              <w:rPr>
                <w:rFonts w:ascii="宋体" w:hAnsi="宋体" w:eastAsia="宋体" w:cs="宋体"/>
                <w:kern w:val="0"/>
                <w:sz w:val="24"/>
              </w:rPr>
            </w:pPr>
            <w:r>
              <w:rPr>
                <w:rFonts w:hint="eastAsia" w:ascii="宋体" w:hAnsi="宋体" w:eastAsia="宋体" w:cs="宋体"/>
                <w:kern w:val="0"/>
                <w:sz w:val="24"/>
              </w:rPr>
              <w:t>e.系统架构师（高级）</w:t>
            </w:r>
          </w:p>
          <w:p>
            <w:pPr>
              <w:rPr>
                <w:rFonts w:ascii="宋体" w:hAnsi="宋体" w:eastAsia="宋体" w:cs="宋体"/>
                <w:kern w:val="0"/>
                <w:sz w:val="24"/>
              </w:rPr>
            </w:pPr>
            <w:r>
              <w:rPr>
                <w:rFonts w:hint="eastAsia" w:ascii="宋体" w:hAnsi="宋体" w:eastAsia="宋体" w:cs="宋体"/>
                <w:kern w:val="0"/>
                <w:sz w:val="24"/>
              </w:rPr>
              <w:t>g.国家重要信息系统保护人员证书（CIIP-A）</w:t>
            </w:r>
          </w:p>
          <w:p>
            <w:pPr>
              <w:rPr>
                <w:rFonts w:ascii="宋体" w:hAnsi="宋体" w:eastAsia="宋体" w:cs="宋体"/>
                <w:kern w:val="0"/>
                <w:sz w:val="24"/>
              </w:rPr>
            </w:pPr>
            <w:r>
              <w:rPr>
                <w:rFonts w:hint="eastAsia" w:ascii="宋体" w:hAnsi="宋体" w:eastAsia="宋体" w:cs="宋体"/>
                <w:kern w:val="0"/>
                <w:sz w:val="24"/>
              </w:rPr>
              <w:t>全部满足得14分，缺少一项扣2分。</w:t>
            </w:r>
          </w:p>
        </w:tc>
        <w:tc>
          <w:tcPr>
            <w:tcW w:w="1446" w:type="dxa"/>
            <w:vMerge w:val="continue"/>
            <w:vAlign w:val="center"/>
          </w:tcPr>
          <w:p>
            <w:pPr>
              <w:ind w:firstLine="360" w:firstLineChars="150"/>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50" w:type="dxa"/>
            <w:vMerge w:val="continue"/>
            <w:vAlign w:val="center"/>
          </w:tcPr>
          <w:p>
            <w:pPr>
              <w:ind w:firstLine="360" w:firstLineChars="150"/>
              <w:rPr>
                <w:rFonts w:ascii="宋体" w:hAnsi="宋体" w:eastAsia="宋体" w:cs="宋体"/>
                <w:kern w:val="0"/>
                <w:sz w:val="24"/>
              </w:rPr>
            </w:pPr>
          </w:p>
        </w:tc>
        <w:tc>
          <w:tcPr>
            <w:tcW w:w="994" w:type="dxa"/>
            <w:vMerge w:val="continue"/>
            <w:vAlign w:val="center"/>
          </w:tcPr>
          <w:p>
            <w:pPr>
              <w:ind w:firstLine="360" w:firstLineChars="150"/>
              <w:rPr>
                <w:rFonts w:ascii="宋体" w:hAnsi="宋体" w:eastAsia="宋体" w:cs="宋体"/>
                <w:kern w:val="0"/>
                <w:sz w:val="24"/>
              </w:rPr>
            </w:pPr>
          </w:p>
        </w:tc>
        <w:tc>
          <w:tcPr>
            <w:tcW w:w="1021" w:type="dxa"/>
            <w:vAlign w:val="center"/>
          </w:tcPr>
          <w:p>
            <w:pPr>
              <w:jc w:val="left"/>
              <w:rPr>
                <w:rFonts w:ascii="宋体" w:hAnsi="宋体" w:eastAsia="宋体" w:cs="宋体"/>
                <w:kern w:val="0"/>
                <w:sz w:val="24"/>
              </w:rPr>
            </w:pPr>
            <w:r>
              <w:rPr>
                <w:rFonts w:hint="eastAsia" w:ascii="宋体" w:hAnsi="宋体" w:eastAsia="宋体" w:cs="宋体"/>
                <w:kern w:val="0"/>
                <w:sz w:val="24"/>
              </w:rPr>
              <w:t>测评人员</w:t>
            </w:r>
          </w:p>
        </w:tc>
        <w:tc>
          <w:tcPr>
            <w:tcW w:w="850" w:type="dxa"/>
            <w:vAlign w:val="center"/>
          </w:tcPr>
          <w:p>
            <w:pPr>
              <w:rPr>
                <w:rFonts w:ascii="宋体" w:hAnsi="宋体" w:eastAsia="宋体" w:cs="宋体"/>
                <w:kern w:val="0"/>
                <w:sz w:val="24"/>
              </w:rPr>
            </w:pPr>
            <w:r>
              <w:rPr>
                <w:rFonts w:hint="eastAsia" w:ascii="宋体" w:hAnsi="宋体" w:eastAsia="宋体" w:cs="宋体"/>
                <w:kern w:val="0"/>
                <w:sz w:val="24"/>
              </w:rPr>
              <w:t>16分</w:t>
            </w:r>
          </w:p>
        </w:tc>
        <w:tc>
          <w:tcPr>
            <w:tcW w:w="4791" w:type="dxa"/>
            <w:vAlign w:val="center"/>
          </w:tcPr>
          <w:p>
            <w:pPr>
              <w:rPr>
                <w:rFonts w:ascii="宋体" w:hAnsi="宋体" w:eastAsia="宋体" w:cs="宋体"/>
                <w:kern w:val="0"/>
                <w:sz w:val="24"/>
              </w:rPr>
            </w:pPr>
            <w:r>
              <w:rPr>
                <w:rFonts w:hint="eastAsia" w:ascii="宋体" w:hAnsi="宋体" w:eastAsia="宋体" w:cs="宋体"/>
                <w:kern w:val="0"/>
                <w:sz w:val="24"/>
              </w:rPr>
              <w:t>供应商为本项目拟派的其余测评人员具有以下资质：</w:t>
            </w:r>
          </w:p>
          <w:p>
            <w:pPr>
              <w:rPr>
                <w:rFonts w:ascii="宋体" w:hAnsi="宋体" w:eastAsia="宋体" w:cs="宋体"/>
                <w:kern w:val="0"/>
                <w:sz w:val="24"/>
              </w:rPr>
            </w:pPr>
            <w:r>
              <w:rPr>
                <w:rFonts w:hint="eastAsia" w:ascii="宋体" w:hAnsi="宋体" w:eastAsia="宋体" w:cs="宋体"/>
                <w:kern w:val="0"/>
                <w:sz w:val="24"/>
              </w:rPr>
              <w:t>a.互联网安全评估师证书（CIISA）</w:t>
            </w:r>
          </w:p>
          <w:p>
            <w:pPr>
              <w:rPr>
                <w:rFonts w:ascii="宋体" w:hAnsi="宋体" w:eastAsia="宋体" w:cs="宋体"/>
                <w:kern w:val="0"/>
                <w:sz w:val="24"/>
              </w:rPr>
            </w:pPr>
            <w:r>
              <w:rPr>
                <w:rFonts w:hint="eastAsia" w:ascii="宋体" w:hAnsi="宋体" w:eastAsia="宋体" w:cs="宋体"/>
                <w:kern w:val="0"/>
                <w:sz w:val="24"/>
              </w:rPr>
              <w:t>b.商用密码应用安全性评估人员能力合格证书</w:t>
            </w:r>
          </w:p>
          <w:p>
            <w:pPr>
              <w:rPr>
                <w:rFonts w:ascii="宋体" w:hAnsi="宋体" w:eastAsia="宋体" w:cs="宋体"/>
                <w:kern w:val="0"/>
                <w:sz w:val="24"/>
              </w:rPr>
            </w:pPr>
            <w:r>
              <w:rPr>
                <w:rFonts w:hint="eastAsia" w:ascii="宋体" w:hAnsi="宋体" w:eastAsia="宋体" w:cs="宋体"/>
                <w:kern w:val="0"/>
                <w:sz w:val="24"/>
              </w:rPr>
              <w:t>c.国家重要信息系统保护人员证书（CIIP-A）</w:t>
            </w:r>
          </w:p>
          <w:p>
            <w:pPr>
              <w:rPr>
                <w:rFonts w:ascii="宋体" w:hAnsi="宋体" w:eastAsia="宋体" w:cs="宋体"/>
                <w:kern w:val="0"/>
                <w:sz w:val="24"/>
              </w:rPr>
            </w:pPr>
            <w:r>
              <w:rPr>
                <w:rFonts w:hint="eastAsia" w:ascii="宋体" w:hAnsi="宋体" w:eastAsia="宋体" w:cs="宋体"/>
                <w:kern w:val="0"/>
                <w:sz w:val="24"/>
              </w:rPr>
              <w:t>d.信息系统审计师证书（ISA）</w:t>
            </w:r>
          </w:p>
          <w:p>
            <w:pPr>
              <w:rPr>
                <w:rFonts w:ascii="宋体" w:hAnsi="宋体" w:eastAsia="宋体" w:cs="宋体"/>
                <w:kern w:val="0"/>
                <w:sz w:val="24"/>
              </w:rPr>
            </w:pPr>
            <w:r>
              <w:rPr>
                <w:rFonts w:hint="eastAsia" w:ascii="宋体" w:hAnsi="宋体" w:eastAsia="宋体" w:cs="宋体"/>
                <w:kern w:val="0"/>
                <w:sz w:val="24"/>
              </w:rPr>
              <w:t>e.具有国家网络安全应用检测专业测评人员证书（NSATP-A）</w:t>
            </w:r>
          </w:p>
          <w:p>
            <w:pPr>
              <w:rPr>
                <w:rFonts w:ascii="宋体" w:hAnsi="宋体" w:eastAsia="宋体" w:cs="宋体"/>
                <w:kern w:val="0"/>
                <w:sz w:val="24"/>
              </w:rPr>
            </w:pPr>
            <w:r>
              <w:rPr>
                <w:rFonts w:hint="eastAsia" w:ascii="宋体" w:hAnsi="宋体" w:eastAsia="宋体" w:cs="宋体"/>
                <w:kern w:val="0"/>
                <w:sz w:val="24"/>
              </w:rPr>
              <w:t>f.网络信息安全工程证书</w:t>
            </w:r>
          </w:p>
          <w:p>
            <w:pPr>
              <w:rPr>
                <w:rFonts w:ascii="宋体" w:hAnsi="宋体" w:eastAsia="宋体" w:cs="宋体"/>
                <w:kern w:val="0"/>
                <w:sz w:val="24"/>
              </w:rPr>
            </w:pPr>
            <w:r>
              <w:rPr>
                <w:rFonts w:hint="eastAsia" w:ascii="宋体" w:hAnsi="宋体" w:eastAsia="宋体" w:cs="宋体"/>
                <w:kern w:val="0"/>
                <w:sz w:val="24"/>
              </w:rPr>
              <w:t>g.网络安全技术（I级）</w:t>
            </w:r>
          </w:p>
          <w:p>
            <w:pPr>
              <w:rPr>
                <w:rFonts w:ascii="宋体" w:hAnsi="宋体" w:eastAsia="宋体" w:cs="宋体"/>
                <w:kern w:val="0"/>
                <w:sz w:val="24"/>
              </w:rPr>
            </w:pPr>
            <w:r>
              <w:rPr>
                <w:rFonts w:hint="eastAsia" w:ascii="宋体" w:hAnsi="宋体" w:eastAsia="宋体" w:cs="宋体"/>
                <w:kern w:val="0"/>
                <w:sz w:val="24"/>
              </w:rPr>
              <w:t>h.注册渗透测试专家（CISP-PTS）</w:t>
            </w:r>
          </w:p>
          <w:p>
            <w:pPr>
              <w:rPr>
                <w:rFonts w:ascii="宋体" w:hAnsi="宋体" w:eastAsia="宋体" w:cs="宋体"/>
                <w:kern w:val="0"/>
                <w:sz w:val="24"/>
              </w:rPr>
            </w:pPr>
            <w:r>
              <w:rPr>
                <w:rFonts w:hint="eastAsia" w:ascii="宋体" w:hAnsi="宋体" w:eastAsia="宋体" w:cs="宋体"/>
                <w:kern w:val="0"/>
                <w:sz w:val="24"/>
              </w:rPr>
              <w:t>全部满足得16分，缺少一项扣2分，同一种证书不重复计分。</w:t>
            </w:r>
          </w:p>
        </w:tc>
        <w:tc>
          <w:tcPr>
            <w:tcW w:w="1446" w:type="dxa"/>
            <w:vMerge w:val="continue"/>
            <w:vAlign w:val="center"/>
          </w:tcPr>
          <w:p>
            <w:pPr>
              <w:ind w:firstLine="360" w:firstLineChars="150"/>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850" w:type="dxa"/>
            <w:vMerge w:val="restart"/>
            <w:vAlign w:val="center"/>
          </w:tcPr>
          <w:p>
            <w:pPr>
              <w:ind w:firstLine="360" w:firstLineChars="150"/>
              <w:rPr>
                <w:rFonts w:ascii="宋体" w:hAnsi="宋体" w:eastAsia="宋体" w:cs="宋体"/>
                <w:kern w:val="0"/>
                <w:sz w:val="24"/>
              </w:rPr>
            </w:pPr>
            <w:r>
              <w:rPr>
                <w:rFonts w:hint="eastAsia" w:ascii="宋体" w:hAnsi="宋体" w:eastAsia="宋体" w:cs="宋体"/>
                <w:kern w:val="0"/>
                <w:sz w:val="24"/>
              </w:rPr>
              <w:t>5</w:t>
            </w:r>
          </w:p>
        </w:tc>
        <w:tc>
          <w:tcPr>
            <w:tcW w:w="994" w:type="dxa"/>
            <w:vMerge w:val="restart"/>
            <w:vAlign w:val="center"/>
          </w:tcPr>
          <w:p>
            <w:pPr>
              <w:rPr>
                <w:rFonts w:ascii="宋体" w:hAnsi="宋体" w:eastAsia="宋体" w:cs="宋体"/>
                <w:kern w:val="0"/>
                <w:sz w:val="24"/>
              </w:rPr>
            </w:pPr>
            <w:r>
              <w:rPr>
                <w:rFonts w:hint="eastAsia" w:ascii="宋体" w:hAnsi="宋体" w:eastAsia="宋体" w:cs="宋体"/>
                <w:kern w:val="0"/>
                <w:sz w:val="24"/>
              </w:rPr>
              <w:t>技术能力</w:t>
            </w:r>
            <w:r>
              <w:rPr>
                <w:rFonts w:hint="eastAsia" w:ascii="宋体" w:hAnsi="宋体" w:eastAsia="宋体" w:cs="宋体"/>
                <w:kern w:val="0"/>
                <w:sz w:val="24"/>
                <w:lang w:val="en-US" w:eastAsia="zh-CN"/>
              </w:rPr>
              <w:t>13</w:t>
            </w:r>
            <w:r>
              <w:rPr>
                <w:rFonts w:hint="eastAsia" w:ascii="宋体" w:hAnsi="宋体" w:eastAsia="宋体" w:cs="宋体"/>
                <w:kern w:val="0"/>
                <w:sz w:val="24"/>
              </w:rPr>
              <w:t>%</w:t>
            </w:r>
          </w:p>
        </w:tc>
        <w:tc>
          <w:tcPr>
            <w:tcW w:w="1021" w:type="dxa"/>
            <w:vAlign w:val="center"/>
          </w:tcPr>
          <w:p>
            <w:pPr>
              <w:jc w:val="left"/>
              <w:rPr>
                <w:rFonts w:ascii="宋体" w:hAnsi="宋体" w:eastAsia="宋体" w:cs="宋体"/>
                <w:kern w:val="0"/>
                <w:sz w:val="24"/>
              </w:rPr>
            </w:pPr>
            <w:r>
              <w:rPr>
                <w:rFonts w:hint="eastAsia" w:ascii="宋体" w:hAnsi="宋体" w:eastAsia="宋体" w:cs="宋体"/>
                <w:kern w:val="0"/>
                <w:sz w:val="24"/>
              </w:rPr>
              <w:t>技术方案</w:t>
            </w:r>
          </w:p>
        </w:tc>
        <w:tc>
          <w:tcPr>
            <w:tcW w:w="850" w:type="dxa"/>
            <w:vAlign w:val="center"/>
          </w:tcPr>
          <w:p>
            <w:pPr>
              <w:rPr>
                <w:rFonts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分</w:t>
            </w:r>
          </w:p>
        </w:tc>
        <w:tc>
          <w:tcPr>
            <w:tcW w:w="4791" w:type="dxa"/>
            <w:vAlign w:val="center"/>
          </w:tcPr>
          <w:p>
            <w:pPr>
              <w:wordWrap w:val="0"/>
              <w:topLinePunct/>
              <w:rPr>
                <w:rFonts w:ascii="宋体" w:hAnsi="宋体" w:eastAsia="宋体" w:cs="宋体"/>
                <w:kern w:val="0"/>
                <w:sz w:val="24"/>
                <w:highlight w:val="none"/>
              </w:rPr>
            </w:pPr>
            <w:r>
              <w:rPr>
                <w:rFonts w:hint="eastAsia" w:ascii="宋体" w:hAnsi="宋体" w:eastAsia="宋体" w:cs="宋体"/>
                <w:kern w:val="0"/>
                <w:sz w:val="24"/>
                <w:highlight w:val="none"/>
              </w:rPr>
              <w:t>a.安全技术测评:包括安全物理环境、安全通信网络、安全区域边界、安全计算环境和安全管理中心五个方面；</w:t>
            </w:r>
          </w:p>
          <w:p>
            <w:pPr>
              <w:wordWrap w:val="0"/>
              <w:topLinePunct/>
              <w:rPr>
                <w:rFonts w:ascii="宋体" w:hAnsi="宋体" w:eastAsia="宋体" w:cs="宋体"/>
                <w:kern w:val="0"/>
                <w:sz w:val="24"/>
                <w:highlight w:val="none"/>
              </w:rPr>
            </w:pPr>
            <w:r>
              <w:rPr>
                <w:rFonts w:hint="eastAsia" w:ascii="宋体" w:hAnsi="宋体" w:eastAsia="宋体" w:cs="宋体"/>
                <w:kern w:val="0"/>
                <w:sz w:val="24"/>
                <w:highlight w:val="none"/>
              </w:rPr>
              <w:t>b.安全管理测评：包括安全管理制度、安全管理机构、安全管理人员、安全系统建设和安全系统运维管理等五个方面；</w:t>
            </w:r>
          </w:p>
          <w:p>
            <w:pPr>
              <w:rPr>
                <w:rFonts w:ascii="宋体" w:hAnsi="宋体" w:eastAsia="宋体" w:cs="宋体"/>
                <w:kern w:val="0"/>
                <w:sz w:val="24"/>
                <w:highlight w:val="none"/>
              </w:rPr>
            </w:pPr>
            <w:r>
              <w:rPr>
                <w:rFonts w:hint="eastAsia" w:ascii="宋体" w:hAnsi="宋体" w:eastAsia="宋体" w:cs="宋体"/>
                <w:kern w:val="0"/>
                <w:sz w:val="24"/>
                <w:highlight w:val="none"/>
              </w:rPr>
              <w:t>以上共有十大测评项，全部满足得</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分，缺少一项扣</w:t>
            </w:r>
            <w:r>
              <w:rPr>
                <w:rFonts w:hint="eastAsia" w:ascii="宋体" w:hAnsi="宋体" w:eastAsia="宋体" w:cs="宋体"/>
                <w:kern w:val="0"/>
                <w:sz w:val="24"/>
                <w:highlight w:val="none"/>
                <w:lang w:val="en-US" w:eastAsia="zh-CN"/>
              </w:rPr>
              <w:t>0.5</w:t>
            </w:r>
            <w:r>
              <w:rPr>
                <w:rFonts w:hint="eastAsia" w:ascii="宋体" w:hAnsi="宋体" w:eastAsia="宋体" w:cs="宋体"/>
                <w:kern w:val="0"/>
                <w:sz w:val="24"/>
                <w:highlight w:val="none"/>
              </w:rPr>
              <w:t>分。</w:t>
            </w:r>
          </w:p>
        </w:tc>
        <w:tc>
          <w:tcPr>
            <w:tcW w:w="1446" w:type="dxa"/>
            <w:vAlign w:val="center"/>
          </w:tcPr>
          <w:p>
            <w:pPr>
              <w:ind w:firstLine="360" w:firstLineChars="150"/>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850" w:type="dxa"/>
            <w:vMerge w:val="continue"/>
            <w:vAlign w:val="center"/>
          </w:tcPr>
          <w:p>
            <w:pPr>
              <w:ind w:firstLine="360" w:firstLineChars="150"/>
              <w:rPr>
                <w:rFonts w:ascii="宋体" w:hAnsi="宋体" w:eastAsia="宋体" w:cs="宋体"/>
                <w:kern w:val="0"/>
                <w:sz w:val="24"/>
              </w:rPr>
            </w:pPr>
          </w:p>
        </w:tc>
        <w:tc>
          <w:tcPr>
            <w:tcW w:w="994" w:type="dxa"/>
            <w:vMerge w:val="continue"/>
            <w:vAlign w:val="center"/>
          </w:tcPr>
          <w:p>
            <w:pPr>
              <w:ind w:firstLine="360" w:firstLineChars="150"/>
              <w:rPr>
                <w:rFonts w:ascii="宋体" w:hAnsi="宋体" w:eastAsia="宋体" w:cs="宋体"/>
                <w:kern w:val="0"/>
                <w:sz w:val="24"/>
              </w:rPr>
            </w:pPr>
          </w:p>
        </w:tc>
        <w:tc>
          <w:tcPr>
            <w:tcW w:w="1021" w:type="dxa"/>
            <w:vAlign w:val="center"/>
          </w:tcPr>
          <w:p>
            <w:pPr>
              <w:jc w:val="left"/>
              <w:rPr>
                <w:rFonts w:ascii="宋体" w:hAnsi="宋体" w:eastAsia="宋体" w:cs="宋体"/>
                <w:kern w:val="0"/>
                <w:sz w:val="24"/>
              </w:rPr>
            </w:pPr>
            <w:r>
              <w:rPr>
                <w:rFonts w:hint="eastAsia" w:ascii="宋体" w:hAnsi="宋体" w:eastAsia="宋体" w:cs="宋体"/>
                <w:kern w:val="0"/>
                <w:sz w:val="24"/>
              </w:rPr>
              <w:t>实施能力</w:t>
            </w:r>
          </w:p>
        </w:tc>
        <w:tc>
          <w:tcPr>
            <w:tcW w:w="850" w:type="dxa"/>
            <w:vAlign w:val="center"/>
          </w:tcPr>
          <w:p>
            <w:pPr>
              <w:rPr>
                <w:rFonts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分</w:t>
            </w:r>
          </w:p>
        </w:tc>
        <w:tc>
          <w:tcPr>
            <w:tcW w:w="4791" w:type="dxa"/>
            <w:vAlign w:val="center"/>
          </w:tcPr>
          <w:p>
            <w:pPr>
              <w:rPr>
                <w:rFonts w:ascii="宋体" w:hAnsi="宋体" w:eastAsia="宋体" w:cs="宋体"/>
                <w:kern w:val="0"/>
                <w:sz w:val="24"/>
                <w:highlight w:val="none"/>
              </w:rPr>
            </w:pPr>
            <w:r>
              <w:rPr>
                <w:rFonts w:hint="eastAsia" w:ascii="宋体" w:hAnsi="宋体" w:eastAsia="宋体" w:cs="宋体"/>
                <w:kern w:val="0"/>
                <w:sz w:val="24"/>
                <w:highlight w:val="none"/>
              </w:rPr>
              <w:t>根据供应商提供的技术手段工具配置情况进行打分：</w:t>
            </w:r>
          </w:p>
          <w:p>
            <w:pPr>
              <w:rPr>
                <w:rFonts w:ascii="宋体" w:hAnsi="宋体" w:eastAsia="宋体" w:cs="宋体"/>
                <w:kern w:val="0"/>
                <w:sz w:val="24"/>
                <w:highlight w:val="none"/>
              </w:rPr>
            </w:pPr>
            <w:r>
              <w:rPr>
                <w:rFonts w:hint="eastAsia" w:ascii="宋体" w:hAnsi="宋体" w:eastAsia="宋体" w:cs="宋体"/>
                <w:kern w:val="0"/>
                <w:sz w:val="24"/>
                <w:highlight w:val="none"/>
              </w:rPr>
              <w:t>a.等保检测专用工具箱</w:t>
            </w:r>
          </w:p>
          <w:p>
            <w:pPr>
              <w:rPr>
                <w:rFonts w:ascii="宋体" w:hAnsi="宋体" w:eastAsia="宋体" w:cs="宋体"/>
                <w:kern w:val="0"/>
                <w:sz w:val="24"/>
                <w:highlight w:val="none"/>
              </w:rPr>
            </w:pPr>
            <w:r>
              <w:rPr>
                <w:rFonts w:hint="eastAsia" w:ascii="宋体" w:hAnsi="宋体" w:eastAsia="宋体" w:cs="宋体"/>
                <w:kern w:val="0"/>
                <w:sz w:val="24"/>
                <w:highlight w:val="none"/>
              </w:rPr>
              <w:t>b.一体化评估平台</w:t>
            </w:r>
          </w:p>
          <w:p>
            <w:pPr>
              <w:rPr>
                <w:rFonts w:ascii="宋体" w:hAnsi="宋体" w:eastAsia="宋体" w:cs="宋体"/>
                <w:kern w:val="0"/>
                <w:sz w:val="24"/>
                <w:highlight w:val="none"/>
              </w:rPr>
            </w:pPr>
            <w:r>
              <w:rPr>
                <w:rFonts w:hint="eastAsia" w:ascii="宋体" w:hAnsi="宋体" w:eastAsia="宋体" w:cs="宋体"/>
                <w:kern w:val="0"/>
                <w:sz w:val="24"/>
                <w:highlight w:val="none"/>
              </w:rPr>
              <w:t>c.网络安全等保测评信息管理系统</w:t>
            </w:r>
          </w:p>
          <w:p>
            <w:pPr>
              <w:rPr>
                <w:rFonts w:ascii="宋体" w:hAnsi="宋体" w:eastAsia="宋体" w:cs="宋体"/>
                <w:kern w:val="0"/>
                <w:sz w:val="24"/>
                <w:highlight w:val="none"/>
              </w:rPr>
            </w:pPr>
            <w:r>
              <w:rPr>
                <w:rFonts w:hint="eastAsia" w:ascii="宋体" w:hAnsi="宋体" w:eastAsia="宋体" w:cs="宋体"/>
                <w:kern w:val="0"/>
                <w:sz w:val="24"/>
                <w:highlight w:val="none"/>
              </w:rPr>
              <w:t>d.随机数检测工具系统得</w:t>
            </w:r>
          </w:p>
          <w:p>
            <w:pPr>
              <w:rPr>
                <w:rFonts w:ascii="宋体" w:hAnsi="宋体" w:eastAsia="宋体" w:cs="宋体"/>
                <w:kern w:val="0"/>
                <w:sz w:val="24"/>
                <w:highlight w:val="none"/>
              </w:rPr>
            </w:pPr>
            <w:r>
              <w:rPr>
                <w:rFonts w:hint="eastAsia" w:ascii="宋体" w:hAnsi="宋体" w:eastAsia="宋体" w:cs="宋体"/>
                <w:kern w:val="0"/>
                <w:sz w:val="24"/>
                <w:highlight w:val="none"/>
              </w:rPr>
              <w:t>e.网络安全漏洞扫描安全系统</w:t>
            </w:r>
          </w:p>
          <w:p>
            <w:pPr>
              <w:rPr>
                <w:rFonts w:ascii="宋体" w:hAnsi="宋体" w:eastAsia="宋体" w:cs="宋体"/>
                <w:kern w:val="0"/>
                <w:sz w:val="24"/>
                <w:highlight w:val="none"/>
              </w:rPr>
            </w:pPr>
            <w:r>
              <w:rPr>
                <w:rFonts w:hint="eastAsia" w:ascii="宋体" w:hAnsi="宋体" w:eastAsia="宋体" w:cs="宋体"/>
                <w:kern w:val="0"/>
                <w:sz w:val="24"/>
                <w:highlight w:val="none"/>
              </w:rPr>
              <w:t>f.网络信息安全检查监管系统</w:t>
            </w:r>
          </w:p>
          <w:p>
            <w:pPr>
              <w:rPr>
                <w:rFonts w:ascii="宋体" w:hAnsi="宋体" w:eastAsia="宋体" w:cs="宋体"/>
                <w:kern w:val="0"/>
                <w:sz w:val="24"/>
                <w:highlight w:val="none"/>
              </w:rPr>
            </w:pPr>
            <w:r>
              <w:rPr>
                <w:rFonts w:hint="eastAsia" w:ascii="宋体" w:hAnsi="宋体" w:eastAsia="宋体" w:cs="宋体"/>
                <w:kern w:val="0"/>
                <w:sz w:val="24"/>
                <w:highlight w:val="none"/>
              </w:rPr>
              <w:t>g.网络安全数据后台实时监控软件</w:t>
            </w:r>
          </w:p>
          <w:p>
            <w:pPr>
              <w:rPr>
                <w:rFonts w:ascii="宋体" w:hAnsi="宋体" w:eastAsia="宋体" w:cs="宋体"/>
                <w:kern w:val="0"/>
                <w:sz w:val="24"/>
                <w:highlight w:val="none"/>
              </w:rPr>
            </w:pPr>
            <w:r>
              <w:rPr>
                <w:rFonts w:hint="eastAsia" w:ascii="宋体" w:hAnsi="宋体" w:eastAsia="宋体" w:cs="宋体"/>
                <w:kern w:val="0"/>
                <w:sz w:val="24"/>
                <w:highlight w:val="none"/>
              </w:rPr>
              <w:t>h.网络安全密码测评数据分析系统</w:t>
            </w:r>
          </w:p>
          <w:p>
            <w:pPr>
              <w:rPr>
                <w:rFonts w:ascii="宋体" w:hAnsi="宋体" w:eastAsia="宋体" w:cs="宋体"/>
                <w:kern w:val="0"/>
                <w:sz w:val="24"/>
                <w:highlight w:val="none"/>
              </w:rPr>
            </w:pPr>
            <w:r>
              <w:rPr>
                <w:rFonts w:hint="eastAsia" w:ascii="宋体" w:hAnsi="宋体" w:eastAsia="宋体" w:cs="宋体"/>
                <w:kern w:val="0"/>
                <w:sz w:val="24"/>
                <w:highlight w:val="none"/>
              </w:rPr>
              <w:t>全部满足得</w:t>
            </w: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分，缺少一项扣</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分。</w:t>
            </w:r>
          </w:p>
        </w:tc>
        <w:tc>
          <w:tcPr>
            <w:tcW w:w="1446" w:type="dxa"/>
            <w:vAlign w:val="center"/>
          </w:tcPr>
          <w:p>
            <w:pPr>
              <w:rPr>
                <w:rFonts w:ascii="宋体" w:hAnsi="宋体" w:eastAsia="宋体" w:cs="宋体"/>
                <w:kern w:val="0"/>
                <w:sz w:val="24"/>
              </w:rPr>
            </w:pPr>
            <w:r>
              <w:rPr>
                <w:rFonts w:hint="eastAsia" w:ascii="宋体" w:hAnsi="宋体" w:eastAsia="宋体" w:cs="宋体"/>
                <w:kern w:val="0"/>
                <w:sz w:val="24"/>
              </w:rPr>
              <w:t>注：测评工具提供工具购买发票凭证复印件，并加盖公章。软件著作权提供中华人民共和国国家版权局颁发的著作权登记证书复印件并加盖公章。</w:t>
            </w:r>
          </w:p>
        </w:tc>
      </w:tr>
      <w:bookmarkEnd w:id="0"/>
    </w:tbl>
    <w:p>
      <w:pPr>
        <w:numPr>
          <w:ilvl w:val="0"/>
          <w:numId w:val="0"/>
        </w:numPr>
        <w:jc w:val="left"/>
        <w:rPr>
          <w:rFonts w:hint="eastAsia" w:ascii="仿宋" w:hAnsi="仿宋" w:eastAsia="仿宋" w:cstheme="minorEastAsia"/>
          <w:color w:val="000000" w:themeColor="text1"/>
          <w:sz w:val="28"/>
          <w:szCs w:val="28"/>
          <w14:textFill>
            <w14:solidFill>
              <w14:schemeClr w14:val="tx1"/>
            </w14:solidFill>
          </w14:textFill>
        </w:rPr>
      </w:pPr>
    </w:p>
    <w:p>
      <w:pPr>
        <w:numPr>
          <w:ilvl w:val="0"/>
          <w:numId w:val="0"/>
        </w:numPr>
        <w:jc w:val="left"/>
        <w:rPr>
          <w:rFonts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lang w:val="en-US" w:eastAsia="zh-CN"/>
          <w14:textFill>
            <w14:solidFill>
              <w14:schemeClr w14:val="tx1"/>
            </w14:solidFill>
          </w14:textFill>
        </w:rPr>
        <w:t xml:space="preserve">第七部分 </w:t>
      </w:r>
      <w:r>
        <w:rPr>
          <w:rFonts w:hint="eastAsia" w:ascii="仿宋" w:hAnsi="仿宋" w:eastAsia="仿宋" w:cstheme="minorEastAsia"/>
          <w:b/>
          <w:bCs/>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何</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w:t>
      </w:r>
      <w:r>
        <w:rPr>
          <w:rFonts w:hint="eastAsia" w:ascii="仿宋" w:hAnsi="仿宋" w:eastAsia="仿宋" w:cstheme="minorEastAsia"/>
          <w:color w:val="000000" w:themeColor="text1"/>
          <w:sz w:val="28"/>
          <w:szCs w:val="28"/>
          <w:lang w:val="en-US" w:eastAsia="zh-CN"/>
          <w14:textFill>
            <w14:solidFill>
              <w14:schemeClr w14:val="tx1"/>
            </w14:solidFill>
          </w14:textFill>
        </w:rPr>
        <w:t>技术</w:t>
      </w:r>
      <w:r>
        <w:rPr>
          <w:rFonts w:hint="eastAsia" w:ascii="仿宋" w:hAnsi="仿宋" w:eastAsia="仿宋" w:cstheme="minorEastAsia"/>
          <w:color w:val="000000" w:themeColor="text1"/>
          <w:sz w:val="28"/>
          <w:szCs w:val="28"/>
          <w14:textFill>
            <w14:solidFill>
              <w14:schemeClr w14:val="tx1"/>
            </w14:solidFill>
          </w14:textFill>
        </w:rPr>
        <w:t>联系人：</w:t>
      </w:r>
      <w:r>
        <w:rPr>
          <w:rFonts w:hint="eastAsia" w:ascii="仿宋" w:hAnsi="仿宋" w:eastAsia="仿宋" w:cstheme="minorEastAsia"/>
          <w:color w:val="000000" w:themeColor="text1"/>
          <w:sz w:val="28"/>
          <w:szCs w:val="28"/>
          <w:lang w:val="en-US" w:eastAsia="zh-CN"/>
          <w14:textFill>
            <w14:solidFill>
              <w14:schemeClr w14:val="tx1"/>
            </w14:solidFill>
          </w14:textFill>
        </w:rPr>
        <w:t>王</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6"/>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（二）具有良好的商业信誉和健全的财务会计制度；</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（四）有依法缴纳税收和社会保障资金的良好记录；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6"/>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8"/>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lang w:val="en-US" w:eastAsia="zh-CN"/>
          <w14:textFill>
            <w14:solidFill>
              <w14:schemeClr w14:val="tx1"/>
            </w14:solidFill>
          </w14:textFill>
        </w:rPr>
        <w:t>培训</w:t>
      </w:r>
      <w:r>
        <w:rPr>
          <w:rFonts w:hint="eastAsia" w:ascii="仿宋" w:hAnsi="仿宋" w:eastAsia="仿宋"/>
          <w:b/>
          <w:color w:val="000000" w:themeColor="text1"/>
          <w:sz w:val="36"/>
          <w:szCs w:val="32"/>
          <w14:textFill>
            <w14:solidFill>
              <w14:schemeClr w14:val="tx1"/>
            </w14:solidFill>
          </w14:textFill>
        </w:rPr>
        <w:t>方案</w:t>
      </w:r>
    </w:p>
    <w:p>
      <w:pPr>
        <w:pStyle w:val="8"/>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w:t>
      </w:r>
      <w:r>
        <w:rPr>
          <w:rFonts w:hint="eastAsia" w:ascii="仿宋" w:hAnsi="仿宋" w:eastAsia="仿宋"/>
          <w:color w:val="000000" w:themeColor="text1"/>
          <w:sz w:val="28"/>
          <w:szCs w:val="28"/>
          <w:lang w:val="en-US" w:eastAsia="zh-CN"/>
          <w14:textFill>
            <w14:solidFill>
              <w14:schemeClr w14:val="tx1"/>
            </w14:solidFill>
          </w14:textFill>
        </w:rPr>
        <w:t>培训</w:t>
      </w:r>
      <w:r>
        <w:rPr>
          <w:rFonts w:hint="eastAsia" w:ascii="仿宋" w:hAnsi="仿宋" w:eastAsia="仿宋"/>
          <w:color w:val="000000" w:themeColor="text1"/>
          <w:sz w:val="28"/>
          <w:szCs w:val="28"/>
          <w14:textFill>
            <w14:solidFill>
              <w14:schemeClr w14:val="tx1"/>
            </w14:solidFill>
          </w14:textFill>
        </w:rPr>
        <w:t>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p>
    <w:p>
      <w:pPr>
        <w:jc w:val="center"/>
        <w:rPr>
          <w:rFonts w:ascii="仿宋" w:hAnsi="仿宋" w:eastAsia="仿宋"/>
          <w:b/>
          <w:bCs/>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ind w:left="0" w:leftChars="0"/>
        <w:rPr>
          <w:rFonts w:ascii="仿宋" w:hAnsi="仿宋" w:eastAsia="仿宋"/>
          <w:color w:val="000000" w:themeColor="text1"/>
          <w:sz w:val="28"/>
          <w:szCs w:val="28"/>
          <w14:textFill>
            <w14:solidFill>
              <w14:schemeClr w14:val="tx1"/>
            </w14:solidFill>
          </w14:textFill>
        </w:rPr>
      </w:pPr>
    </w:p>
    <w:p>
      <w:pPr>
        <w:pStyle w:val="8"/>
        <w:ind w:left="0" w:leftChars="0"/>
        <w:rPr>
          <w:rFonts w:ascii="仿宋" w:hAnsi="仿宋" w:eastAsia="仿宋"/>
          <w:color w:val="000000" w:themeColor="text1"/>
          <w:sz w:val="28"/>
          <w:szCs w:val="28"/>
          <w14:textFill>
            <w14:solidFill>
              <w14:schemeClr w14:val="tx1"/>
            </w14:solidFill>
          </w14:textFill>
        </w:rPr>
      </w:pP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6"/>
        <w:rPr>
          <w:rFonts w:cs="Times New Roman"/>
          <w:lang w:val="zh-CN"/>
        </w:rPr>
      </w:pPr>
      <w:r>
        <w:br w:type="page"/>
      </w:r>
    </w:p>
    <w:p>
      <w:pPr>
        <w:pStyle w:val="8"/>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2"/>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2"/>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hint="eastAsia" w:ascii="仿宋" w:hAnsi="仿宋" w:eastAsia="仿宋"/>
          <w:color w:val="000000" w:themeColor="text1"/>
          <w:sz w:val="24"/>
          <w:szCs w:val="32"/>
          <w:lang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2"/>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10"/>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10"/>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10"/>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期及地点</w:t>
            </w:r>
          </w:p>
        </w:tc>
        <w:tc>
          <w:tcPr>
            <w:tcW w:w="5386" w:type="dxa"/>
            <w:noWrap/>
            <w:vAlign w:val="center"/>
          </w:tcPr>
          <w:p>
            <w:pPr>
              <w:pStyle w:val="4"/>
              <w:tabs>
                <w:tab w:val="left" w:pos="6880"/>
              </w:tabs>
              <w:spacing w:line="360" w:lineRule="auto"/>
              <w:ind w:firstLine="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服务期限：合同签订后一周内进场开始测评工作，本项目须于2023年12月31日前完成。</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pacing w:val="1"/>
                <w:sz w:val="28"/>
                <w:highlight w:val="none"/>
                <w:lang w:val="en-US" w:eastAsia="zh-CN"/>
              </w:rPr>
              <w:t>投标人完成初次测评后，投标人对招标人提供的《信息系统安全问题汇总及整改建议》、《网络安全等级保护等级测评报告》及过程资料进行验收，验收合格后支付合同金额的100%</w:t>
            </w:r>
            <w:r>
              <w:rPr>
                <w:rFonts w:hint="eastAsia" w:ascii="仿宋" w:hAnsi="仿宋" w:eastAsia="仿宋" w:cs="仿宋"/>
                <w:color w:val="000000" w:themeColor="text1"/>
                <w:kern w:val="0"/>
                <w:sz w:val="24"/>
                <w:szCs w:val="24"/>
                <w14:textFill>
                  <w14:solidFill>
                    <w14:schemeClr w14:val="tx1"/>
                  </w14:solidFill>
                </w14:textFill>
              </w:rPr>
              <w:t>。</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6"/>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sz w:val="24"/>
                <w:lang w:val="en-US" w:eastAsia="zh-CN"/>
              </w:rPr>
              <w:t>按国家有关规定、《财政部关于进一步加强政府采购需求和履行验收管理的指导意见》（财库〔2016〕205号）文件、招标文件要求、投标人的投标文件及有关承诺以及合同约定标准进行验收。本项目主要预期成果为“四川省严重精神障碍综合管理信息系统”通过等级保护测评（三级），在2023年12月31日前取得符合要求的《信息系统安全等级保护备案证明》即可视为验收合</w:t>
            </w:r>
            <w:r>
              <w:rPr>
                <w:rFonts w:hint="eastAsia" w:ascii="仿宋" w:hAnsi="仿宋" w:eastAsia="仿宋" w:cs="仿宋"/>
                <w:bCs/>
                <w:sz w:val="24"/>
              </w:rPr>
              <w:t>格。</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04" w:type="dxa"/>
            <w:noWrap/>
            <w:vAlign w:val="center"/>
          </w:tcPr>
          <w:p>
            <w:pPr>
              <w:pStyle w:val="4"/>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418" w:type="dxa"/>
            <w:vAlign w:val="center"/>
          </w:tcPr>
          <w:p>
            <w:pPr>
              <w:pStyle w:val="4"/>
              <w:tabs>
                <w:tab w:val="left" w:pos="6880"/>
              </w:tabs>
              <w:spacing w:line="360" w:lineRule="auto"/>
              <w:ind w:firstLine="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培训要求</w:t>
            </w:r>
          </w:p>
        </w:tc>
        <w:tc>
          <w:tcPr>
            <w:tcW w:w="5386" w:type="dxa"/>
            <w:noWrap/>
            <w:vAlign w:val="center"/>
          </w:tcPr>
          <w:p>
            <w:pPr>
              <w:pStyle w:val="7"/>
              <w:ind w:left="0" w:leftChars="0"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kern w:val="2"/>
                <w:sz w:val="24"/>
                <w:szCs w:val="24"/>
                <w:lang w:val="en-US" w:eastAsia="zh-CN" w:bidi="ar-SA"/>
              </w:rPr>
              <w:t>投标人结合本项目及招标人实际需要，提供技术培训方案。</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04" w:type="dxa"/>
            <w:noWrap/>
            <w:vAlign w:val="center"/>
          </w:tcPr>
          <w:p>
            <w:pPr>
              <w:pStyle w:val="4"/>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技术标准和规范</w:t>
            </w:r>
          </w:p>
        </w:tc>
        <w:tc>
          <w:tcPr>
            <w:tcW w:w="5386" w:type="dxa"/>
            <w:noWrap/>
            <w:vAlign w:val="center"/>
          </w:tcPr>
          <w:p>
            <w:pPr>
              <w:pStyle w:val="1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中华人民共和国计算机信息系统安全保护条例》(国务院令147号)、《信息安全等级保护管理办法》（公通字[2007]43号、《计算机信息系统安全保护等级划分准则》（GB17859-1999）、《信息安全技术网络安全等级保护定级指南》（GB/T22240-2020）、《信息安全技术网络安全等级保护基本要求》（GB/T22239-2019)、《信息安全技术网络安全等级保护测评要求》（GB/T28448-2019）、《信息安全技术网络安全等级保护测评过程指南》（GB/T28449-2018）、《信息安全技术网络安全等级保护实施指南》（GB/T 25058-2019）、《信息安全技术信息安全风险评估规范》（GB/T20984-2015）、《中华人民共和国网络安全法》。</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04" w:type="dxa"/>
            <w:noWrap/>
            <w:vAlign w:val="center"/>
          </w:tcPr>
          <w:p>
            <w:pPr>
              <w:pStyle w:val="4"/>
              <w:tabs>
                <w:tab w:val="left" w:pos="34"/>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1418" w:type="dxa"/>
            <w:vAlign w:val="center"/>
          </w:tcPr>
          <w:p>
            <w:pPr>
              <w:pStyle w:val="4"/>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技术原则</w:t>
            </w:r>
          </w:p>
        </w:tc>
        <w:tc>
          <w:tcPr>
            <w:tcW w:w="5386" w:type="dxa"/>
            <w:noWrap/>
            <w:vAlign w:val="center"/>
          </w:tcPr>
          <w:p>
            <w:pPr>
              <w:pStyle w:val="4"/>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1.保密原则：对测评的过程数据和结果数据严格保密，未经授权不得泄露给任何单位和个人，不得利用此数据进行任何侵害采购方的行为，否则采购方有权追究供应商的责任。</w:t>
            </w:r>
          </w:p>
          <w:p>
            <w:pPr>
              <w:pStyle w:val="4"/>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2.标准性原则：测评方案的设计与实施应依据国家等级保护的相关标准进行。</w:t>
            </w:r>
          </w:p>
          <w:p>
            <w:pPr>
              <w:pStyle w:val="4"/>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3.规范性原则：供应商的工作中的过程和文档，具有很好的规范性，可以便于项目的跟踪和控制，测评出具的报告须符合公安部颁布的《信息系统安全等级测评报告模板》。</w:t>
            </w:r>
          </w:p>
          <w:p>
            <w:pPr>
              <w:pStyle w:val="4"/>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4.可控性原则：等保测评服务的进度要按照招标文件 的要求，保证采购方对于测评工作的可控性。</w:t>
            </w:r>
          </w:p>
          <w:p>
            <w:pPr>
              <w:pStyle w:val="4"/>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5.整体性原则：等保测评服务的范围和内容应当整体全面，包括国家等级保护相关要求测评要求涉及的各个层面。</w:t>
            </w:r>
          </w:p>
          <w:p>
            <w:pPr>
              <w:pStyle w:val="4"/>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6.安全性原则：等保测评服务工作应不得影响系统和网络的正常运行；测评工作不得对现有信息系统的正常运行、业务的正常开展产生任何影响。</w:t>
            </w:r>
          </w:p>
          <w:p>
            <w:pPr>
              <w:pStyle w:val="4"/>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测评机构资质及人员要求：（1）从事信息系统检测评估相关工作人员无违法记录；（2）工作人员仅限于中华人民共和国境内的中国公民，且无犯罪记录；（3）测评期间需遵守被测单位相关管理规定，禁止利用测评工作从事危害被测单位利益、安全的活动。</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7"/>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NTZlYzZkNGNhMmRiYWI1NWQzNTk0NzYxNmU0NWEifQ=="/>
  </w:docVars>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EF4FE4"/>
    <w:rsid w:val="02E545CF"/>
    <w:rsid w:val="03476805"/>
    <w:rsid w:val="05B963B0"/>
    <w:rsid w:val="0777261F"/>
    <w:rsid w:val="079972E3"/>
    <w:rsid w:val="07CF05EC"/>
    <w:rsid w:val="08681BA6"/>
    <w:rsid w:val="0C065106"/>
    <w:rsid w:val="0F6500AE"/>
    <w:rsid w:val="13DD5037"/>
    <w:rsid w:val="15EC41DA"/>
    <w:rsid w:val="16012CE8"/>
    <w:rsid w:val="17232389"/>
    <w:rsid w:val="18251A52"/>
    <w:rsid w:val="19CD3B65"/>
    <w:rsid w:val="1C0A7E27"/>
    <w:rsid w:val="1C0B12AF"/>
    <w:rsid w:val="1DC332DD"/>
    <w:rsid w:val="1E231C8B"/>
    <w:rsid w:val="1F383832"/>
    <w:rsid w:val="21044B9D"/>
    <w:rsid w:val="21450C91"/>
    <w:rsid w:val="2381166C"/>
    <w:rsid w:val="24B07802"/>
    <w:rsid w:val="24F96CA8"/>
    <w:rsid w:val="262133A4"/>
    <w:rsid w:val="28042D57"/>
    <w:rsid w:val="28FC1071"/>
    <w:rsid w:val="2936586D"/>
    <w:rsid w:val="29BB23E3"/>
    <w:rsid w:val="2BD13993"/>
    <w:rsid w:val="2F9D0AAC"/>
    <w:rsid w:val="31431EE2"/>
    <w:rsid w:val="31D71407"/>
    <w:rsid w:val="328C6861"/>
    <w:rsid w:val="339577D0"/>
    <w:rsid w:val="33F7209D"/>
    <w:rsid w:val="35970F7D"/>
    <w:rsid w:val="35C83214"/>
    <w:rsid w:val="37122244"/>
    <w:rsid w:val="372B531C"/>
    <w:rsid w:val="3844628F"/>
    <w:rsid w:val="39CE723C"/>
    <w:rsid w:val="3A6E40ED"/>
    <w:rsid w:val="3AE94FD9"/>
    <w:rsid w:val="3D5B3FCD"/>
    <w:rsid w:val="3E327C16"/>
    <w:rsid w:val="402819DE"/>
    <w:rsid w:val="429E3216"/>
    <w:rsid w:val="43FB1CC9"/>
    <w:rsid w:val="451308A6"/>
    <w:rsid w:val="461A34EF"/>
    <w:rsid w:val="462E6545"/>
    <w:rsid w:val="46485558"/>
    <w:rsid w:val="46A01B66"/>
    <w:rsid w:val="46BB049B"/>
    <w:rsid w:val="493960B2"/>
    <w:rsid w:val="494C4D60"/>
    <w:rsid w:val="4AB633CB"/>
    <w:rsid w:val="4B5B3130"/>
    <w:rsid w:val="4BD1742D"/>
    <w:rsid w:val="4CB02D01"/>
    <w:rsid w:val="4F37130D"/>
    <w:rsid w:val="50C8395B"/>
    <w:rsid w:val="52530863"/>
    <w:rsid w:val="52AA2277"/>
    <w:rsid w:val="531F70F4"/>
    <w:rsid w:val="55390748"/>
    <w:rsid w:val="553C243D"/>
    <w:rsid w:val="56C93F74"/>
    <w:rsid w:val="59EB6C90"/>
    <w:rsid w:val="5B435A44"/>
    <w:rsid w:val="5CAA0423"/>
    <w:rsid w:val="5D9A56C3"/>
    <w:rsid w:val="5DEB0F1E"/>
    <w:rsid w:val="5E68756F"/>
    <w:rsid w:val="5EC836C0"/>
    <w:rsid w:val="5F5156AC"/>
    <w:rsid w:val="5F546CFC"/>
    <w:rsid w:val="610E62F8"/>
    <w:rsid w:val="61406582"/>
    <w:rsid w:val="620B4261"/>
    <w:rsid w:val="622176CB"/>
    <w:rsid w:val="63345F40"/>
    <w:rsid w:val="64EF4547"/>
    <w:rsid w:val="653F67E0"/>
    <w:rsid w:val="655A0F44"/>
    <w:rsid w:val="66050395"/>
    <w:rsid w:val="681873D6"/>
    <w:rsid w:val="688C64CE"/>
    <w:rsid w:val="6AB80E83"/>
    <w:rsid w:val="6AE07204"/>
    <w:rsid w:val="6BF568E6"/>
    <w:rsid w:val="6C6A6044"/>
    <w:rsid w:val="6D0320AA"/>
    <w:rsid w:val="6E784143"/>
    <w:rsid w:val="6E96154E"/>
    <w:rsid w:val="7277650C"/>
    <w:rsid w:val="73B644A9"/>
    <w:rsid w:val="75542513"/>
    <w:rsid w:val="77F57471"/>
    <w:rsid w:val="799A1CB7"/>
    <w:rsid w:val="79F4064C"/>
    <w:rsid w:val="7A505630"/>
    <w:rsid w:val="7C0238A0"/>
    <w:rsid w:val="7F5C1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4" w:lineRule="auto"/>
      <w:outlineLvl w:val="3"/>
    </w:pPr>
    <w:rPr>
      <w:rFonts w:ascii="Cambria" w:hAnsi="Cambria"/>
      <w:b/>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21"/>
    <w:qFormat/>
    <w:uiPriority w:val="0"/>
    <w:pPr>
      <w:jc w:val="left"/>
    </w:pPr>
    <w:rPr>
      <w:sz w:val="18"/>
      <w:szCs w:val="20"/>
    </w:rPr>
  </w:style>
  <w:style w:type="paragraph" w:styleId="6">
    <w:name w:val="Body Text"/>
    <w:basedOn w:val="1"/>
    <w:next w:val="7"/>
    <w:link w:val="20"/>
    <w:qFormat/>
    <w:uiPriority w:val="0"/>
    <w:rPr>
      <w:rFonts w:ascii="Times New Roman"/>
    </w:rPr>
  </w:style>
  <w:style w:type="paragraph" w:styleId="7">
    <w:name w:val="Body Text First Indent"/>
    <w:basedOn w:val="6"/>
    <w:link w:val="22"/>
    <w:unhideWhenUsed/>
    <w:qFormat/>
    <w:uiPriority w:val="99"/>
    <w:pPr>
      <w:ind w:firstLine="420" w:firstLineChars="100"/>
    </w:pPr>
  </w:style>
  <w:style w:type="paragraph" w:styleId="8">
    <w:name w:val="Body Text Indent"/>
    <w:basedOn w:val="1"/>
    <w:link w:val="19"/>
    <w:qFormat/>
    <w:uiPriority w:val="0"/>
    <w:pPr>
      <w:spacing w:after="120"/>
      <w:ind w:left="420" w:leftChars="200"/>
    </w:pPr>
    <w:rPr>
      <w:rFonts w:ascii="Calibri" w:hAnsi="Calibri" w:eastAsia="宋体" w:cs="Times New Roman"/>
      <w:lang w:val="zh-CN"/>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4">
    <w:name w:val="page number"/>
    <w:qFormat/>
    <w:uiPriority w:val="0"/>
  </w:style>
  <w:style w:type="character" w:styleId="15">
    <w:name w:val="Hyperlink"/>
    <w:basedOn w:val="13"/>
    <w:qFormat/>
    <w:uiPriority w:val="0"/>
    <w:rPr>
      <w:color w:val="0000FF"/>
      <w:u w:val="single"/>
    </w:rPr>
  </w:style>
  <w:style w:type="paragraph" w:customStyle="1" w:styleId="16">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7">
    <w:name w:val="页眉 字符"/>
    <w:basedOn w:val="13"/>
    <w:link w:val="10"/>
    <w:qFormat/>
    <w:uiPriority w:val="0"/>
    <w:rPr>
      <w:rFonts w:asciiTheme="minorHAnsi" w:hAnsiTheme="minorHAnsi" w:eastAsiaTheme="minorEastAsia" w:cstheme="minorBidi"/>
      <w:kern w:val="2"/>
      <w:sz w:val="18"/>
      <w:szCs w:val="18"/>
    </w:rPr>
  </w:style>
  <w:style w:type="character" w:customStyle="1" w:styleId="18">
    <w:name w:val="页脚 字符"/>
    <w:basedOn w:val="13"/>
    <w:link w:val="9"/>
    <w:qFormat/>
    <w:uiPriority w:val="0"/>
    <w:rPr>
      <w:rFonts w:asciiTheme="minorHAnsi" w:hAnsiTheme="minorHAnsi" w:eastAsiaTheme="minorEastAsia" w:cstheme="minorBidi"/>
      <w:kern w:val="2"/>
      <w:sz w:val="18"/>
      <w:szCs w:val="18"/>
    </w:rPr>
  </w:style>
  <w:style w:type="character" w:customStyle="1" w:styleId="19">
    <w:name w:val="正文文本缩进 字符"/>
    <w:basedOn w:val="13"/>
    <w:link w:val="8"/>
    <w:qFormat/>
    <w:uiPriority w:val="0"/>
    <w:rPr>
      <w:rFonts w:ascii="Calibri" w:hAnsi="Calibri"/>
      <w:kern w:val="2"/>
      <w:sz w:val="21"/>
      <w:szCs w:val="24"/>
      <w:lang w:val="zh-CN"/>
    </w:rPr>
  </w:style>
  <w:style w:type="character" w:customStyle="1" w:styleId="20">
    <w:name w:val="正文文本 字符"/>
    <w:basedOn w:val="13"/>
    <w:link w:val="6"/>
    <w:qFormat/>
    <w:uiPriority w:val="99"/>
    <w:rPr>
      <w:rFonts w:hAnsiTheme="minorHAnsi" w:eastAsiaTheme="minorEastAsia" w:cstheme="minorBidi"/>
      <w:kern w:val="2"/>
      <w:sz w:val="21"/>
      <w:szCs w:val="24"/>
    </w:rPr>
  </w:style>
  <w:style w:type="character" w:customStyle="1" w:styleId="21">
    <w:name w:val="批注文字 字符"/>
    <w:link w:val="5"/>
    <w:qFormat/>
    <w:uiPriority w:val="0"/>
    <w:rPr>
      <w:rFonts w:asciiTheme="minorHAnsi" w:hAnsiTheme="minorHAnsi" w:eastAsiaTheme="minorEastAsia" w:cstheme="minorBidi"/>
      <w:kern w:val="2"/>
      <w:sz w:val="18"/>
    </w:rPr>
  </w:style>
  <w:style w:type="character" w:customStyle="1" w:styleId="22">
    <w:name w:val="正文首行缩进 字符"/>
    <w:basedOn w:val="20"/>
    <w:link w:val="7"/>
    <w:qFormat/>
    <w:uiPriority w:val="99"/>
    <w:rPr>
      <w:rFonts w:hAnsiTheme="minorHAnsi" w:eastAsiaTheme="minorEastAsia" w:cstheme="minorBidi"/>
      <w:kern w:val="2"/>
      <w:sz w:val="21"/>
      <w:szCs w:val="24"/>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列表段落1"/>
    <w:basedOn w:val="1"/>
    <w:qFormat/>
    <w:uiPriority w:val="99"/>
    <w:pPr>
      <w:ind w:firstLine="420" w:firstLineChars="200"/>
    </w:pPr>
  </w:style>
  <w:style w:type="paragraph" w:customStyle="1" w:styleId="25">
    <w:name w:val="p0"/>
    <w:basedOn w:val="1"/>
    <w:qFormat/>
    <w:uiPriority w:val="99"/>
    <w:pPr>
      <w:widowControl/>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16496</Words>
  <Characters>17522</Characters>
  <Lines>57</Lines>
  <Paragraphs>16</Paragraphs>
  <TotalTime>9</TotalTime>
  <ScaleCrop>false</ScaleCrop>
  <LinksUpToDate>false</LinksUpToDate>
  <CharactersWithSpaces>17844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起点</cp:lastModifiedBy>
  <dcterms:modified xsi:type="dcterms:W3CDTF">2023-09-04T06:32:45Z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4F5068FD170D459FA2D8DF098E66BCB5_13</vt:lpwstr>
  </property>
</Properties>
</file>