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8C" w:rsidRDefault="000349A7">
      <w:pPr>
        <w:widowControl/>
        <w:spacing w:line="360" w:lineRule="atLeast"/>
        <w:ind w:firstLineChars="196" w:firstLine="412"/>
        <w:jc w:val="left"/>
      </w:pPr>
      <w:r>
        <w:rPr>
          <w:rFonts w:hint="eastAsia"/>
        </w:rPr>
        <w:t xml:space="preserve">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1249"/>
      </w:tblGrid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制造商家及</w:t>
            </w:r>
          </w:p>
          <w:p w:rsidR="003322F5" w:rsidRDefault="003322F5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规格型号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数量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widowControl/>
              <w:ind w:left="361" w:hangingChars="150" w:hanging="361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锐捷网络数据库审计系统RG-DBS 1000-A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1台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widowControl/>
              <w:ind w:left="361" w:hangingChars="150" w:hanging="361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锐捷网络上网行为管理RG-UAC 6000-E50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1台</w:t>
            </w:r>
          </w:p>
        </w:tc>
      </w:tr>
      <w:tr w:rsidR="003322F5">
        <w:trPr>
          <w:trHeight w:val="90"/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widowControl/>
              <w:ind w:left="361" w:hangingChars="150" w:hanging="361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锐捷网络Web应用防火墙RG-WG 1000E-A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1台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widowControl/>
              <w:ind w:left="723" w:hangingChars="300" w:hanging="723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锐捷网络大数据安全平台RG-BDS-C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1套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双排微模块数据中心（含16套浪潮NR42机柜系统、1套浪潮定制通道密封件系统、1套维谛LiebertAPM150一体化配电柜、3套维谛室内机：CR035RA138SS12E10000PV000,室外机：LSF76-R3行间精密空调、1套谷探GT-IMU-102动力环境监控系统）有UPS一套 2019年七月启用，两组80节12V/150Ah电池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1套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内网核心交换机 锐捷RG-S8612E</w:t>
            </w:r>
          </w:p>
          <w:p w:rsidR="003322F5" w:rsidRDefault="003322F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bookmarkStart w:id="0" w:name="_Toc529190215"/>
            <w:bookmarkStart w:id="1" w:name="_Toc529221428"/>
            <w:bookmarkStart w:id="2" w:name="_Toc529222257"/>
            <w:bookmarkStart w:id="3" w:name="_Toc529274081"/>
            <w:bookmarkStart w:id="4" w:name="_Toc529274443"/>
            <w:bookmarkStart w:id="5" w:name="_Toc529192491"/>
            <w:bookmarkStart w:id="6" w:name="_Toc529198297"/>
            <w:bookmarkStart w:id="7" w:name="_Toc529192229"/>
            <w:r>
              <w:rPr>
                <w:rFonts w:ascii="仿宋" w:eastAsia="仿宋" w:hAnsi="仿宋" w:cs="仿宋" w:hint="eastAsia"/>
                <w:szCs w:val="24"/>
              </w:rPr>
              <w:t>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仿宋" w:eastAsia="仿宋" w:hAnsi="仿宋" w:cs="仿宋" w:hint="eastAsia"/>
                <w:szCs w:val="24"/>
              </w:rPr>
              <w:t>台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48口交换机       锐捷RG-S5310-48GT4XS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bookmarkStart w:id="8" w:name="_Toc529190217"/>
            <w:bookmarkStart w:id="9" w:name="_Toc529274445"/>
            <w:bookmarkStart w:id="10" w:name="_Toc529222259"/>
            <w:bookmarkStart w:id="11" w:name="_Toc529192231"/>
            <w:bookmarkStart w:id="12" w:name="_Toc529198299"/>
            <w:bookmarkStart w:id="13" w:name="_Toc529192493"/>
            <w:bookmarkStart w:id="14" w:name="_Toc529221430"/>
            <w:bookmarkStart w:id="15" w:name="_Toc529274083"/>
            <w:r>
              <w:rPr>
                <w:rFonts w:ascii="仿宋" w:eastAsia="仿宋" w:hAnsi="仿宋" w:cs="仿宋" w:hint="eastAsia"/>
                <w:szCs w:val="24"/>
              </w:rPr>
              <w:t>4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rFonts w:ascii="仿宋" w:eastAsia="仿宋" w:hAnsi="仿宋" w:cs="仿宋" w:hint="eastAsia"/>
                <w:szCs w:val="24"/>
              </w:rPr>
              <w:t>台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24口交换机      锐捷</w:t>
            </w:r>
            <w:r>
              <w:rPr>
                <w:rFonts w:ascii="仿宋" w:eastAsia="仿宋" w:hAnsi="仿宋" w:cs="仿宋" w:hint="eastAsia"/>
                <w:szCs w:val="24"/>
              </w:rPr>
              <w:lastRenderedPageBreak/>
              <w:t>RG-S5310-24GT4XS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bookmarkStart w:id="16" w:name="_Toc529274085"/>
            <w:bookmarkStart w:id="17" w:name="_Toc529274447"/>
            <w:bookmarkStart w:id="18" w:name="_Toc529192495"/>
            <w:bookmarkStart w:id="19" w:name="_Toc529221432"/>
            <w:bookmarkStart w:id="20" w:name="_Toc529192233"/>
            <w:bookmarkStart w:id="21" w:name="_Toc529190219"/>
            <w:bookmarkStart w:id="22" w:name="_Toc529222261"/>
            <w:bookmarkStart w:id="23" w:name="_Toc529198301"/>
            <w:r>
              <w:rPr>
                <w:rFonts w:ascii="仿宋" w:eastAsia="仿宋" w:hAnsi="仿宋" w:cs="仿宋" w:hint="eastAsia"/>
                <w:szCs w:val="24"/>
              </w:rPr>
              <w:lastRenderedPageBreak/>
              <w:t>10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>
              <w:rPr>
                <w:rFonts w:ascii="仿宋" w:eastAsia="仿宋" w:hAnsi="仿宋" w:cs="仿宋" w:hint="eastAsia"/>
                <w:szCs w:val="24"/>
              </w:rPr>
              <w:t>台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lastRenderedPageBreak/>
              <w:t>外网交换机锐捷RG-S5750C-28GT4XS-H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bookmarkStart w:id="24" w:name="_Toc529222263"/>
            <w:bookmarkStart w:id="25" w:name="_Toc529190221"/>
            <w:bookmarkStart w:id="26" w:name="_Toc529192235"/>
            <w:bookmarkStart w:id="27" w:name="_Toc529192497"/>
            <w:bookmarkStart w:id="28" w:name="_Toc529274087"/>
            <w:bookmarkStart w:id="29" w:name="_Toc529274449"/>
            <w:bookmarkStart w:id="30" w:name="_Toc529221434"/>
            <w:bookmarkStart w:id="31" w:name="_Toc529198303"/>
            <w:r>
              <w:rPr>
                <w:rFonts w:ascii="仿宋" w:eastAsia="仿宋" w:hAnsi="仿宋" w:cs="仿宋" w:hint="eastAsia"/>
                <w:szCs w:val="24"/>
              </w:rPr>
              <w:t>2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>
              <w:rPr>
                <w:rFonts w:ascii="仿宋" w:eastAsia="仿宋" w:hAnsi="仿宋" w:cs="仿宋" w:hint="eastAsia"/>
                <w:szCs w:val="24"/>
              </w:rPr>
              <w:t>台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外网汇聚交换机，华为S</w:t>
            </w:r>
            <w:r>
              <w:rPr>
                <w:rFonts w:ascii="仿宋" w:eastAsia="仿宋" w:hAnsi="仿宋" w:cs="仿宋"/>
                <w:szCs w:val="24"/>
              </w:rPr>
              <w:t xml:space="preserve">6740S </w:t>
            </w:r>
            <w:r>
              <w:rPr>
                <w:rFonts w:ascii="仿宋" w:eastAsia="仿宋" w:hAnsi="仿宋" w:cs="仿宋" w:hint="eastAsia"/>
                <w:szCs w:val="24"/>
              </w:rPr>
              <w:t>24口光纤交换机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2台</w:t>
            </w:r>
            <w:bookmarkStart w:id="32" w:name="_GoBack"/>
            <w:bookmarkEnd w:id="32"/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漏洞扫描 锐捷RG-SCAN 2000E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b/>
                <w:bCs/>
                <w:szCs w:val="24"/>
              </w:rPr>
            </w:pPr>
            <w:bookmarkStart w:id="33" w:name="_Toc529274089"/>
            <w:bookmarkStart w:id="34" w:name="_Toc529222265"/>
            <w:bookmarkStart w:id="35" w:name="_Toc529192499"/>
            <w:bookmarkStart w:id="36" w:name="_Toc529274451"/>
            <w:bookmarkStart w:id="37" w:name="_Toc529192237"/>
            <w:bookmarkStart w:id="38" w:name="_Toc529190223"/>
            <w:bookmarkStart w:id="39" w:name="_Toc529221436"/>
            <w:bookmarkStart w:id="40" w:name="_Toc529198305"/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1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台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pStyle w:val="a3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入侵检测  锐捷RG-IDP 1000E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1台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华为2288H V5服务器</w:t>
            </w:r>
          </w:p>
          <w:p w:rsidR="003322F5" w:rsidRDefault="003322F5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4台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widowControl/>
              <w:ind w:left="720" w:hangingChars="300" w:hanging="72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华为SNS2624交换机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华为5300 V5存储</w:t>
            </w:r>
          </w:p>
          <w:p w:rsidR="003322F5" w:rsidRDefault="003322F5">
            <w:pPr>
              <w:widowControl/>
              <w:ind w:left="720" w:hangingChars="300" w:hanging="72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1台</w:t>
            </w:r>
          </w:p>
        </w:tc>
      </w:tr>
      <w:tr w:rsidR="003322F5">
        <w:trPr>
          <w:jc w:val="center"/>
        </w:trPr>
        <w:tc>
          <w:tcPr>
            <w:tcW w:w="3682" w:type="dxa"/>
          </w:tcPr>
          <w:p w:rsidR="003322F5" w:rsidRDefault="003322F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FC光纤交换机华为SNS2624 , 1台，存储柜扩展（扩展柜1个25盘位，21块2.4T SAS,13块SSD）</w:t>
            </w:r>
          </w:p>
        </w:tc>
        <w:tc>
          <w:tcPr>
            <w:tcW w:w="1249" w:type="dxa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1套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widowControl/>
              <w:ind w:left="720" w:hangingChars="300" w:hanging="72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5#楼华为 AP  37，6#楼 AP  37  1#2#93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167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widowControl/>
              <w:ind w:left="720" w:hangingChars="300" w:hanging="72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6#楼华为48口千兆接入交换机18，1#2#27台，5#18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br/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63</w:t>
            </w:r>
          </w:p>
        </w:tc>
      </w:tr>
      <w:tr w:rsidR="003322F5">
        <w:trPr>
          <w:jc w:val="center"/>
        </w:trPr>
        <w:tc>
          <w:tcPr>
            <w:tcW w:w="3682" w:type="dxa"/>
            <w:vAlign w:val="center"/>
          </w:tcPr>
          <w:p w:rsidR="003322F5" w:rsidRDefault="003322F5">
            <w:pPr>
              <w:widowControl/>
              <w:ind w:left="720" w:hangingChars="300" w:hanging="72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6#楼华为24口千兆交换机6，1#2#26台5# 7</w:t>
            </w:r>
          </w:p>
        </w:tc>
        <w:tc>
          <w:tcPr>
            <w:tcW w:w="1249" w:type="dxa"/>
            <w:vAlign w:val="center"/>
          </w:tcPr>
          <w:p w:rsidR="003322F5" w:rsidRDefault="003322F5">
            <w:pPr>
              <w:pStyle w:val="a3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40</w:t>
            </w:r>
          </w:p>
        </w:tc>
      </w:tr>
    </w:tbl>
    <w:p w:rsidR="00D11C8C" w:rsidRDefault="00D11C8C"/>
    <w:p w:rsidR="00D11C8C" w:rsidRDefault="00D11C8C"/>
    <w:p w:rsidR="00D11C8C" w:rsidRDefault="00D11C8C"/>
    <w:p w:rsidR="00D11C8C" w:rsidRDefault="00D11C8C"/>
    <w:sectPr w:rsidR="00D11C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81" w:rsidRDefault="00BD2B81" w:rsidP="003322F5">
      <w:r>
        <w:separator/>
      </w:r>
    </w:p>
  </w:endnote>
  <w:endnote w:type="continuationSeparator" w:id="0">
    <w:p w:rsidR="00BD2B81" w:rsidRDefault="00BD2B81" w:rsidP="0033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81" w:rsidRDefault="00BD2B81" w:rsidP="003322F5">
      <w:r>
        <w:separator/>
      </w:r>
    </w:p>
  </w:footnote>
  <w:footnote w:type="continuationSeparator" w:id="0">
    <w:p w:rsidR="00BD2B81" w:rsidRDefault="00BD2B81" w:rsidP="0033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NDFlOWYxNGQ4NjIwMTRlNjNkM2I4NWZjYzIyMTUifQ=="/>
  </w:docVars>
  <w:rsids>
    <w:rsidRoot w:val="00C62997"/>
    <w:rsid w:val="000349A7"/>
    <w:rsid w:val="000360BE"/>
    <w:rsid w:val="00082C15"/>
    <w:rsid w:val="000B47CF"/>
    <w:rsid w:val="00110D0A"/>
    <w:rsid w:val="001E4414"/>
    <w:rsid w:val="002E7791"/>
    <w:rsid w:val="003322F5"/>
    <w:rsid w:val="003907FD"/>
    <w:rsid w:val="00444BEE"/>
    <w:rsid w:val="004965B3"/>
    <w:rsid w:val="004B00AF"/>
    <w:rsid w:val="00663BA9"/>
    <w:rsid w:val="0069594F"/>
    <w:rsid w:val="00703E6F"/>
    <w:rsid w:val="0081443C"/>
    <w:rsid w:val="00832BB5"/>
    <w:rsid w:val="008C7C04"/>
    <w:rsid w:val="00982B2A"/>
    <w:rsid w:val="009F3A54"/>
    <w:rsid w:val="00A47B45"/>
    <w:rsid w:val="00BA3861"/>
    <w:rsid w:val="00BD2B81"/>
    <w:rsid w:val="00C62997"/>
    <w:rsid w:val="00CA7510"/>
    <w:rsid w:val="00D11C8C"/>
    <w:rsid w:val="00D13393"/>
    <w:rsid w:val="00F567CC"/>
    <w:rsid w:val="00FF0982"/>
    <w:rsid w:val="08681565"/>
    <w:rsid w:val="1A792C77"/>
    <w:rsid w:val="39E02FFF"/>
    <w:rsid w:val="3A1A3FFA"/>
    <w:rsid w:val="41220E1D"/>
    <w:rsid w:val="6500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58AE1"/>
  <w15:docId w15:val="{DA8A64AA-A93A-443A-B91E-DAD51400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 w:val="24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rPr>
      <w:rFonts w:ascii="宋体" w:eastAsia="宋体" w:hAnsi="Courier New" w:cs="Times New Roman"/>
      <w:sz w:val="24"/>
      <w:szCs w:val="20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117</Words>
  <Characters>668</Characters>
  <Application>Microsoft Office Word</Application>
  <DocSecurity>0</DocSecurity>
  <Lines>5</Lines>
  <Paragraphs>1</Paragraphs>
  <ScaleCrop>false</ScaleCrop>
  <Company>P R 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XIYI</cp:lastModifiedBy>
  <cp:revision>15</cp:revision>
  <cp:lastPrinted>2022-06-23T16:44:00Z</cp:lastPrinted>
  <dcterms:created xsi:type="dcterms:W3CDTF">2022-06-21T07:48:00Z</dcterms:created>
  <dcterms:modified xsi:type="dcterms:W3CDTF">2023-04-19T08:27:00Z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10CF66EE74984F6F9C62A726845C82A2</vt:lpwstr>
  </property>
</Properties>
</file>