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theme="majorEastAsia"/>
          <w:b/>
          <w:color w:val="000000" w:themeColor="text1"/>
          <w:sz w:val="44"/>
          <w:szCs w:val="44"/>
          <w14:textFill>
            <w14:solidFill>
              <w14:schemeClr w14:val="tx1"/>
            </w14:solidFill>
          </w14:textFill>
        </w:rPr>
      </w:pPr>
    </w:p>
    <w:p>
      <w:pPr>
        <w:jc w:val="center"/>
        <w:rPr>
          <w:rFonts w:hint="eastAsia" w:ascii="仿宋" w:hAnsi="仿宋" w:eastAsia="仿宋" w:cs="宋体"/>
          <w:b/>
          <w:color w:val="000000" w:themeColor="text1"/>
          <w:kern w:val="0"/>
          <w:sz w:val="44"/>
          <w:szCs w:val="44"/>
          <w:lang w:val="zh-CN"/>
          <w14:textFill>
            <w14:solidFill>
              <w14:schemeClr w14:val="tx1"/>
            </w14:solidFill>
          </w14:textFill>
        </w:rPr>
      </w:pPr>
      <w:r>
        <w:rPr>
          <w:rFonts w:hint="eastAsia" w:ascii="仿宋" w:hAnsi="仿宋" w:eastAsia="仿宋" w:cs="宋体"/>
          <w:b/>
          <w:color w:val="000000" w:themeColor="text1"/>
          <w:kern w:val="0"/>
          <w:sz w:val="44"/>
          <w:szCs w:val="44"/>
          <w:lang w:val="zh-CN"/>
          <w14:textFill>
            <w14:solidFill>
              <w14:schemeClr w14:val="tx1"/>
            </w14:solidFill>
          </w14:textFill>
        </w:rPr>
        <w:t>四川省严重精神障碍综合信息管理平台</w:t>
      </w:r>
    </w:p>
    <w:p>
      <w:pPr>
        <w:jc w:val="center"/>
        <w:rPr>
          <w:rFonts w:ascii="仿宋" w:hAnsi="仿宋" w:eastAsia="仿宋"/>
          <w:color w:val="000000" w:themeColor="text1"/>
          <w14:textFill>
            <w14:solidFill>
              <w14:schemeClr w14:val="tx1"/>
            </w14:solidFill>
          </w14:textFill>
        </w:rPr>
      </w:pPr>
      <w:r>
        <w:rPr>
          <w:rFonts w:hint="eastAsia" w:ascii="仿宋" w:hAnsi="仿宋" w:eastAsia="仿宋" w:cs="宋体"/>
          <w:b/>
          <w:color w:val="000000" w:themeColor="text1"/>
          <w:kern w:val="0"/>
          <w:sz w:val="44"/>
          <w:szCs w:val="44"/>
          <w:lang w:val="zh-CN"/>
          <w14:textFill>
            <w14:solidFill>
              <w14:schemeClr w14:val="tx1"/>
            </w14:solidFill>
          </w14:textFill>
        </w:rPr>
        <w:t>等级保护测评</w:t>
      </w:r>
      <w:r>
        <w:rPr>
          <w:rFonts w:hint="eastAsia" w:ascii="仿宋" w:hAnsi="仿宋" w:eastAsia="仿宋" w:cs="宋体"/>
          <w:b/>
          <w:color w:val="000000" w:themeColor="text1"/>
          <w:kern w:val="0"/>
          <w:sz w:val="44"/>
          <w:szCs w:val="44"/>
          <w:lang w:val="en-US" w:eastAsia="zh-CN"/>
          <w14:textFill>
            <w14:solidFill>
              <w14:schemeClr w14:val="tx1"/>
            </w14:solidFill>
          </w14:textFill>
        </w:rPr>
        <w:t>服务</w:t>
      </w:r>
      <w:r>
        <w:rPr>
          <w:rFonts w:hint="eastAsia" w:ascii="仿宋" w:hAnsi="仿宋" w:eastAsia="仿宋" w:cs="宋体"/>
          <w:b/>
          <w:color w:val="000000" w:themeColor="text1"/>
          <w:kern w:val="0"/>
          <w:sz w:val="44"/>
          <w:szCs w:val="44"/>
          <w14:textFill>
            <w14:solidFill>
              <w14:schemeClr w14:val="tx1"/>
            </w14:solidFill>
          </w14:textFill>
        </w:rPr>
        <w:t>采购项目</w:t>
      </w:r>
    </w:p>
    <w:p>
      <w:pP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pStyle w:val="5"/>
        <w:rPr>
          <w:rFonts w:ascii="仿宋" w:hAnsi="仿宋" w:eastAsia="仿宋"/>
        </w:rPr>
      </w:pPr>
    </w:p>
    <w:p>
      <w:pPr>
        <w:pStyle w:val="5"/>
        <w:rPr>
          <w:rFonts w:ascii="仿宋" w:hAnsi="仿宋" w:eastAsia="仿宋"/>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b/>
          <w:color w:val="000000" w:themeColor="text1"/>
          <w:sz w:val="96"/>
          <w:szCs w:val="96"/>
          <w14:textFill>
            <w14:solidFill>
              <w14:schemeClr w14:val="tx1"/>
            </w14:solidFill>
          </w14:textFill>
        </w:rPr>
      </w:pPr>
      <w:r>
        <w:rPr>
          <w:rFonts w:hint="eastAsia" w:ascii="仿宋" w:hAnsi="仿宋" w:eastAsia="仿宋"/>
          <w:b/>
          <w:color w:val="000000" w:themeColor="text1"/>
          <w:sz w:val="96"/>
          <w:szCs w:val="96"/>
          <w14:textFill>
            <w14:solidFill>
              <w14:schemeClr w14:val="tx1"/>
            </w14:solidFill>
          </w14:textFill>
        </w:rPr>
        <w:t>招标文件</w:t>
      </w: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pStyle w:val="5"/>
        <w:rPr>
          <w:rFonts w:ascii="仿宋" w:hAnsi="仿宋" w:eastAsia="仿宋"/>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四川省精神医学中心</w:t>
      </w:r>
    </w:p>
    <w:p>
      <w:pPr>
        <w:numPr>
          <w:ilvl w:val="0"/>
          <w:numId w:val="1"/>
        </w:numPr>
        <w:jc w:val="left"/>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投标须知</w:t>
      </w:r>
    </w:p>
    <w:p>
      <w:pPr>
        <w:numPr>
          <w:ilvl w:val="0"/>
          <w:numId w:val="2"/>
        </w:num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1招标概况：</w:t>
      </w:r>
    </w:p>
    <w:p>
      <w:pPr>
        <w:ind w:firstLine="560" w:firstLineChars="200"/>
        <w:jc w:val="left"/>
        <w:rPr>
          <w:rFonts w:hint="eastAsia"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为了落实公安部、网信办应用系统安全等级保护要求，进一步增强系统安全防护能力，确保系统安全稳定运行，防止因系统安全事件引发安全事故，依据《信息安全技术网络安全等级保护基本要求》（GB/T22239-2019）、《信息安全等级保护管理办法》（公通字〔2007〕43号）和《中华人民共和国网络安全法》等标准规范，特开展本次等级保护测评工作。</w:t>
      </w:r>
    </w:p>
    <w:p>
      <w:pPr>
        <w:ind w:firstLine="560" w:firstLineChars="200"/>
        <w:jc w:val="left"/>
        <w:rPr>
          <w:rFonts w:hint="eastAsia"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本次安全等级保护测评服务范围为以下信息系统：</w:t>
      </w:r>
    </w:p>
    <w:tbl>
      <w:tblPr>
        <w:tblStyle w:val="11"/>
        <w:tblW w:w="7255" w:type="dxa"/>
        <w:jc w:val="center"/>
        <w:tblLayout w:type="fixed"/>
        <w:tblCellMar>
          <w:top w:w="0" w:type="dxa"/>
          <w:left w:w="108" w:type="dxa"/>
          <w:bottom w:w="0" w:type="dxa"/>
          <w:right w:w="108" w:type="dxa"/>
        </w:tblCellMar>
      </w:tblPr>
      <w:tblGrid>
        <w:gridCol w:w="5744"/>
        <w:gridCol w:w="1511"/>
      </w:tblGrid>
      <w:tr>
        <w:tblPrEx>
          <w:tblCellMar>
            <w:top w:w="0" w:type="dxa"/>
            <w:left w:w="108" w:type="dxa"/>
            <w:bottom w:w="0" w:type="dxa"/>
            <w:right w:w="108" w:type="dxa"/>
          </w:tblCellMar>
        </w:tblPrEx>
        <w:trPr>
          <w:trHeight w:val="405" w:hRule="atLeast"/>
          <w:jc w:val="center"/>
        </w:trPr>
        <w:tc>
          <w:tcPr>
            <w:tcW w:w="57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信息系统名称</w:t>
            </w:r>
          </w:p>
        </w:tc>
        <w:tc>
          <w:tcPr>
            <w:tcW w:w="1511" w:type="dxa"/>
            <w:tcBorders>
              <w:top w:val="single" w:color="auto" w:sz="4" w:space="0"/>
              <w:left w:val="nil"/>
              <w:bottom w:val="single" w:color="auto" w:sz="4" w:space="0"/>
              <w:right w:val="single" w:color="auto" w:sz="4" w:space="0"/>
            </w:tcBorders>
            <w:vAlign w:val="center"/>
          </w:tcPr>
          <w:p>
            <w:pPr>
              <w:jc w:val="center"/>
              <w:rPr>
                <w:rFonts w:hint="eastAsia"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定级</w:t>
            </w:r>
          </w:p>
        </w:tc>
      </w:tr>
      <w:tr>
        <w:tblPrEx>
          <w:tblCellMar>
            <w:top w:w="0" w:type="dxa"/>
            <w:left w:w="108" w:type="dxa"/>
            <w:bottom w:w="0" w:type="dxa"/>
            <w:right w:w="108" w:type="dxa"/>
          </w:tblCellMar>
        </w:tblPrEx>
        <w:trPr>
          <w:trHeight w:val="405" w:hRule="atLeast"/>
          <w:jc w:val="center"/>
        </w:trPr>
        <w:tc>
          <w:tcPr>
            <w:tcW w:w="574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四川省严重精神障碍综合管理信息系统</w:t>
            </w:r>
          </w:p>
        </w:tc>
        <w:tc>
          <w:tcPr>
            <w:tcW w:w="151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3级</w:t>
            </w:r>
          </w:p>
        </w:tc>
      </w:tr>
    </w:tbl>
    <w:p>
      <w:pPr>
        <w:jc w:val="left"/>
        <w:rPr>
          <w:rFonts w:hint="default" w:ascii="仿宋" w:hAnsi="仿宋" w:eastAsia="仿宋" w:cstheme="minorEastAsia"/>
          <w:color w:val="000000" w:themeColor="text1"/>
          <w:sz w:val="28"/>
          <w:szCs w:val="28"/>
          <w:lang w:val="en-US" w:eastAsia="zh-CN"/>
          <w14:textFill>
            <w14:solidFill>
              <w14:schemeClr w14:val="tx1"/>
            </w14:solidFill>
          </w14:textFill>
        </w:rPr>
      </w:pPr>
      <w:r>
        <w:rPr>
          <w:rFonts w:hint="eastAsia" w:ascii="仿宋" w:hAnsi="仿宋" w:eastAsia="仿宋" w:cstheme="minorEastAsia"/>
          <w:color w:val="000000" w:themeColor="text1"/>
          <w:sz w:val="28"/>
          <w:szCs w:val="28"/>
          <w:lang w:val="en-US" w:eastAsia="zh-CN"/>
          <w14:textFill>
            <w14:solidFill>
              <w14:schemeClr w14:val="tx1"/>
            </w14:solidFill>
          </w14:textFill>
        </w:rPr>
        <w:t xml:space="preserve">    </w:t>
      </w:r>
    </w:p>
    <w:p>
      <w:pPr>
        <w:jc w:val="left"/>
        <w:rPr>
          <w:rFonts w:hint="eastAsia"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甲方：四川省精神医学中心</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乙方：投标单位</w:t>
      </w:r>
    </w:p>
    <w:p>
      <w:pPr>
        <w:spacing w:line="360" w:lineRule="auto"/>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欢迎有资质、有能力的供应商前来参与投标。</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1.2 投标单位要求：</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1.2.1 在中华人民共和国境内注册，具有独立法人资格；</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1.2.2 具有良好的商业信誉和健全的财务会计制度；</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1.2.3 具备履行合同所必需的设备和专业技术能力的证明材料；</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1.2.4 参加采购活动前三年内，在经营活动中没有重大违法记录；</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1.3质量要求：</w:t>
      </w:r>
    </w:p>
    <w:p>
      <w:pPr>
        <w:jc w:val="left"/>
        <w:rPr>
          <w:rFonts w:ascii="仿宋" w:hAnsi="仿宋" w:eastAsia="仿宋" w:cstheme="minorEastAsia"/>
          <w:color w:val="000000" w:themeColor="text1"/>
          <w:sz w:val="28"/>
          <w:szCs w:val="28"/>
          <w14:textFill>
            <w14:solidFill>
              <w14:schemeClr w14:val="tx1"/>
            </w14:solidFill>
          </w14:textFill>
        </w:rPr>
      </w:pPr>
      <w:r>
        <w:rPr>
          <w:rFonts w:ascii="仿宋" w:hAnsi="仿宋" w:eastAsia="仿宋" w:cstheme="minorEastAsia"/>
          <w:color w:val="000000" w:themeColor="text1"/>
          <w:sz w:val="28"/>
          <w:szCs w:val="28"/>
          <w14:textFill>
            <w14:solidFill>
              <w14:schemeClr w14:val="tx1"/>
            </w14:solidFill>
          </w14:textFill>
        </w:rPr>
        <w:t>1.3.1</w:t>
      </w:r>
      <w:r>
        <w:rPr>
          <w:rFonts w:hint="eastAsia" w:ascii="仿宋" w:hAnsi="仿宋" w:eastAsia="仿宋" w:cstheme="minorEastAsia"/>
          <w:color w:val="000000" w:themeColor="text1"/>
          <w:sz w:val="28"/>
          <w:szCs w:val="28"/>
          <w14:textFill>
            <w14:solidFill>
              <w14:schemeClr w14:val="tx1"/>
            </w14:solidFill>
          </w14:textFill>
        </w:rPr>
        <w:t>按国家有关规定、采购文件的技术参数、商务要求和供应商的响应文件及承诺以及合同约定标准进行验收。</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1.4服务要求：投标人的服务承诺应按不低于招标文件中提出的所有服务要求的标准做出响应。其基本服务要求如下：</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1.4.1符合本招标文件及招标人承诺的质量、技术和其他要求，符合国家相关的质量标准和出厂标准。</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1.5 招标文件获取方式：登陆四川省精神医学中心官网（http://www.scsjsyxzx.com/),进入四川省精神医学中心门户网站，免费下载招标文件。</w:t>
      </w:r>
    </w:p>
    <w:p>
      <w:pPr>
        <w:jc w:val="left"/>
        <w:rPr>
          <w:rFonts w:ascii="仿宋" w:hAnsi="仿宋" w:eastAsia="仿宋" w:cstheme="minorEastAsia"/>
          <w:color w:val="auto"/>
          <w:sz w:val="28"/>
          <w:szCs w:val="28"/>
          <w:highlight w:val="yellow"/>
        </w:rPr>
      </w:pPr>
      <w:r>
        <w:rPr>
          <w:rFonts w:hint="eastAsia" w:ascii="仿宋" w:hAnsi="仿宋" w:eastAsia="仿宋" w:cstheme="minorEastAsia"/>
          <w:color w:val="000000" w:themeColor="text1"/>
          <w:sz w:val="28"/>
          <w:szCs w:val="28"/>
          <w14:textFill>
            <w14:solidFill>
              <w14:schemeClr w14:val="tx1"/>
            </w14:solidFill>
          </w14:textFill>
        </w:rPr>
        <w:t>1.6 招标文件获取</w:t>
      </w:r>
      <w:r>
        <w:rPr>
          <w:rFonts w:hint="eastAsia" w:ascii="仿宋" w:hAnsi="仿宋" w:eastAsia="仿宋" w:cstheme="minorEastAsia"/>
          <w:color w:val="auto"/>
          <w:sz w:val="28"/>
          <w:szCs w:val="28"/>
        </w:rPr>
        <w:t>时间：</w:t>
      </w:r>
      <w:r>
        <w:rPr>
          <w:rFonts w:hint="eastAsia" w:ascii="仿宋" w:hAnsi="仿宋" w:eastAsia="仿宋" w:cstheme="minorEastAsia"/>
          <w:color w:val="auto"/>
          <w:sz w:val="28"/>
          <w:szCs w:val="28"/>
          <w:lang w:val="en-US" w:eastAsia="zh-CN"/>
        </w:rPr>
        <w:t>发布招标公告之时</w:t>
      </w:r>
      <w:r>
        <w:rPr>
          <w:rFonts w:hint="eastAsia" w:ascii="仿宋" w:hAnsi="仿宋" w:eastAsia="仿宋" w:cstheme="minorEastAsia"/>
          <w:color w:val="auto"/>
          <w:sz w:val="28"/>
          <w:szCs w:val="28"/>
          <w:highlight w:val="none"/>
          <w:lang w:val="en-US" w:eastAsia="zh-CN"/>
        </w:rPr>
        <w:t>起至</w:t>
      </w:r>
      <w:r>
        <w:rPr>
          <w:rFonts w:hint="eastAsia" w:ascii="仿宋" w:hAnsi="仿宋" w:eastAsia="仿宋" w:cstheme="minorEastAsia"/>
          <w:color w:val="auto"/>
          <w:sz w:val="28"/>
          <w:szCs w:val="28"/>
          <w:highlight w:val="none"/>
        </w:rPr>
        <w:t>202</w:t>
      </w:r>
      <w:r>
        <w:rPr>
          <w:rFonts w:hint="eastAsia" w:ascii="仿宋" w:hAnsi="仿宋" w:eastAsia="仿宋" w:cstheme="minorEastAsia"/>
          <w:color w:val="auto"/>
          <w:sz w:val="28"/>
          <w:szCs w:val="28"/>
          <w:highlight w:val="none"/>
          <w:lang w:val="en-US" w:eastAsia="zh-CN"/>
        </w:rPr>
        <w:t>2</w:t>
      </w:r>
      <w:r>
        <w:rPr>
          <w:rFonts w:hint="eastAsia" w:ascii="仿宋" w:hAnsi="仿宋" w:eastAsia="仿宋" w:cstheme="minorEastAsia"/>
          <w:color w:val="auto"/>
          <w:sz w:val="28"/>
          <w:szCs w:val="28"/>
          <w:highlight w:val="none"/>
        </w:rPr>
        <w:t>.</w:t>
      </w:r>
      <w:r>
        <w:rPr>
          <w:rFonts w:ascii="仿宋" w:hAnsi="仿宋" w:eastAsia="仿宋" w:cstheme="minorEastAsia"/>
          <w:color w:val="auto"/>
          <w:sz w:val="28"/>
          <w:szCs w:val="28"/>
          <w:highlight w:val="none"/>
        </w:rPr>
        <w:t>1</w:t>
      </w:r>
      <w:r>
        <w:rPr>
          <w:rFonts w:hint="eastAsia" w:ascii="仿宋" w:hAnsi="仿宋" w:eastAsia="仿宋" w:cstheme="minorEastAsia"/>
          <w:color w:val="auto"/>
          <w:sz w:val="28"/>
          <w:szCs w:val="28"/>
          <w:highlight w:val="none"/>
          <w:lang w:val="en-US" w:eastAsia="zh-CN"/>
        </w:rPr>
        <w:t>1</w:t>
      </w:r>
      <w:r>
        <w:rPr>
          <w:rFonts w:hint="eastAsia" w:ascii="仿宋" w:hAnsi="仿宋" w:eastAsia="仿宋" w:cstheme="minorEastAsia"/>
          <w:color w:val="auto"/>
          <w:sz w:val="28"/>
          <w:szCs w:val="28"/>
          <w:highlight w:val="none"/>
        </w:rPr>
        <w:t>.</w:t>
      </w:r>
      <w:r>
        <w:rPr>
          <w:rFonts w:hint="eastAsia" w:ascii="仿宋" w:hAnsi="仿宋" w:eastAsia="仿宋" w:cstheme="minorEastAsia"/>
          <w:color w:val="auto"/>
          <w:sz w:val="28"/>
          <w:szCs w:val="28"/>
          <w:highlight w:val="none"/>
          <w:lang w:val="en-US" w:eastAsia="zh-CN"/>
        </w:rPr>
        <w:t>23</w:t>
      </w:r>
      <w:r>
        <w:rPr>
          <w:rFonts w:hint="eastAsia" w:ascii="仿宋" w:hAnsi="仿宋" w:eastAsia="仿宋" w:cstheme="minorEastAsia"/>
          <w:color w:val="auto"/>
          <w:sz w:val="28"/>
          <w:szCs w:val="28"/>
          <w:highlight w:val="none"/>
        </w:rPr>
        <w:t>。</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auto"/>
          <w:sz w:val="28"/>
          <w:szCs w:val="28"/>
        </w:rPr>
        <w:t>1.7 投标文件递交时间：</w:t>
      </w:r>
      <w:r>
        <w:rPr>
          <w:rFonts w:hint="eastAsia" w:ascii="仿宋" w:hAnsi="仿宋" w:eastAsia="仿宋" w:cstheme="minorEastAsia"/>
          <w:color w:val="auto"/>
          <w:sz w:val="28"/>
          <w:szCs w:val="28"/>
          <w:highlight w:val="none"/>
        </w:rPr>
        <w:t>202</w:t>
      </w:r>
      <w:r>
        <w:rPr>
          <w:rFonts w:hint="eastAsia" w:ascii="仿宋" w:hAnsi="仿宋" w:eastAsia="仿宋" w:cstheme="minorEastAsia"/>
          <w:color w:val="auto"/>
          <w:sz w:val="28"/>
          <w:szCs w:val="28"/>
          <w:highlight w:val="none"/>
          <w:lang w:val="en-US" w:eastAsia="zh-CN"/>
        </w:rPr>
        <w:t>2</w:t>
      </w:r>
      <w:r>
        <w:rPr>
          <w:rFonts w:hint="eastAsia" w:ascii="仿宋" w:hAnsi="仿宋" w:eastAsia="仿宋" w:cstheme="minorEastAsia"/>
          <w:color w:val="auto"/>
          <w:sz w:val="28"/>
          <w:szCs w:val="28"/>
          <w:highlight w:val="none"/>
        </w:rPr>
        <w:t>.</w:t>
      </w:r>
      <w:r>
        <w:rPr>
          <w:rFonts w:ascii="仿宋" w:hAnsi="仿宋" w:eastAsia="仿宋" w:cstheme="minorEastAsia"/>
          <w:color w:val="auto"/>
          <w:sz w:val="28"/>
          <w:szCs w:val="28"/>
          <w:highlight w:val="none"/>
        </w:rPr>
        <w:t>1</w:t>
      </w:r>
      <w:r>
        <w:rPr>
          <w:rFonts w:hint="eastAsia" w:ascii="仿宋" w:hAnsi="仿宋" w:eastAsia="仿宋" w:cstheme="minorEastAsia"/>
          <w:color w:val="auto"/>
          <w:sz w:val="28"/>
          <w:szCs w:val="28"/>
          <w:highlight w:val="none"/>
          <w:lang w:val="en-US" w:eastAsia="zh-CN"/>
        </w:rPr>
        <w:t>1</w:t>
      </w:r>
      <w:r>
        <w:rPr>
          <w:rFonts w:hint="eastAsia" w:ascii="仿宋" w:hAnsi="仿宋" w:eastAsia="仿宋" w:cstheme="minorEastAsia"/>
          <w:color w:val="auto"/>
          <w:sz w:val="28"/>
          <w:szCs w:val="28"/>
          <w:highlight w:val="none"/>
        </w:rPr>
        <w:t>.</w:t>
      </w:r>
      <w:r>
        <w:rPr>
          <w:rFonts w:hint="eastAsia" w:ascii="仿宋" w:hAnsi="仿宋" w:eastAsia="仿宋" w:cstheme="minorEastAsia"/>
          <w:color w:val="auto"/>
          <w:sz w:val="28"/>
          <w:szCs w:val="28"/>
          <w:highlight w:val="none"/>
          <w:lang w:val="en-US" w:eastAsia="zh-CN"/>
        </w:rPr>
        <w:t xml:space="preserve">23 </w:t>
      </w:r>
      <w:r>
        <w:rPr>
          <w:rFonts w:hint="eastAsia" w:ascii="仿宋" w:hAnsi="仿宋" w:eastAsia="仿宋" w:cstheme="minorEastAsia"/>
          <w:color w:val="auto"/>
          <w:sz w:val="28"/>
          <w:szCs w:val="28"/>
          <w:highlight w:val="none"/>
        </w:rPr>
        <w:t>1</w:t>
      </w:r>
      <w:r>
        <w:rPr>
          <w:rFonts w:hint="eastAsia" w:ascii="仿宋" w:hAnsi="仿宋" w:eastAsia="仿宋" w:cstheme="minorEastAsia"/>
          <w:color w:val="auto"/>
          <w:sz w:val="28"/>
          <w:szCs w:val="28"/>
          <w:highlight w:val="none"/>
          <w:lang w:val="en-US" w:eastAsia="zh-CN"/>
        </w:rPr>
        <w:t>7</w:t>
      </w:r>
      <w:bookmarkStart w:id="0" w:name="_GoBack"/>
      <w:bookmarkEnd w:id="0"/>
      <w:r>
        <w:rPr>
          <w:rFonts w:hint="eastAsia" w:ascii="仿宋" w:hAnsi="仿宋" w:eastAsia="仿宋" w:cstheme="minorEastAsia"/>
          <w:color w:val="auto"/>
          <w:sz w:val="28"/>
          <w:szCs w:val="28"/>
          <w:highlight w:val="none"/>
        </w:rPr>
        <w:t>:00截</w:t>
      </w:r>
      <w:r>
        <w:rPr>
          <w:rFonts w:hint="eastAsia" w:ascii="仿宋" w:hAnsi="仿宋" w:eastAsia="仿宋" w:cstheme="minorEastAsia"/>
          <w:color w:val="auto"/>
          <w:sz w:val="28"/>
          <w:szCs w:val="28"/>
        </w:rPr>
        <w:t>止</w:t>
      </w:r>
      <w:r>
        <w:rPr>
          <w:rFonts w:hint="eastAsia" w:ascii="仿宋" w:hAnsi="仿宋" w:eastAsia="仿宋" w:cstheme="minorEastAsia"/>
          <w:color w:val="000000" w:themeColor="text1"/>
          <w:sz w:val="28"/>
          <w:szCs w:val="28"/>
          <w14:textFill>
            <w14:solidFill>
              <w14:schemeClr w14:val="tx1"/>
            </w14:solidFill>
          </w14:textFill>
        </w:rPr>
        <w:t>。</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1.8 投标文件递交方式：密封装订，现场递交。</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1.9项目限价：</w:t>
      </w:r>
      <w:r>
        <w:rPr>
          <w:rFonts w:hint="eastAsia" w:ascii="仿宋" w:hAnsi="仿宋" w:eastAsia="仿宋" w:cstheme="minorEastAsia"/>
          <w:color w:val="auto"/>
          <w:sz w:val="28"/>
          <w:szCs w:val="28"/>
          <w:u w:val="single"/>
        </w:rPr>
        <w:t xml:space="preserve"> </w:t>
      </w:r>
      <w:r>
        <w:rPr>
          <w:rFonts w:hint="eastAsia" w:ascii="仿宋" w:hAnsi="仿宋" w:eastAsia="仿宋" w:cstheme="minorEastAsia"/>
          <w:color w:val="auto"/>
          <w:sz w:val="28"/>
          <w:szCs w:val="28"/>
          <w:highlight w:val="none"/>
          <w:u w:val="single"/>
          <w:lang w:val="en-US" w:eastAsia="zh-CN"/>
        </w:rPr>
        <w:t xml:space="preserve"> 9.0</w:t>
      </w:r>
      <w:r>
        <w:rPr>
          <w:rFonts w:hint="eastAsia" w:ascii="仿宋" w:hAnsi="仿宋" w:eastAsia="仿宋" w:cstheme="minorEastAsia"/>
          <w:color w:val="auto"/>
          <w:sz w:val="28"/>
          <w:szCs w:val="28"/>
          <w:highlight w:val="none"/>
          <w:u w:val="single"/>
        </w:rPr>
        <w:t>万元</w:t>
      </w:r>
      <w:r>
        <w:rPr>
          <w:rFonts w:hint="eastAsia" w:ascii="仿宋" w:hAnsi="仿宋" w:eastAsia="仿宋" w:cstheme="minorEastAsia"/>
          <w:color w:val="auto"/>
          <w:sz w:val="28"/>
          <w:szCs w:val="28"/>
          <w:highlight w:val="none"/>
          <w:u w:val="single"/>
          <w:lang w:val="en-US" w:eastAsia="zh-CN"/>
        </w:rPr>
        <w:t xml:space="preserve"> </w:t>
      </w:r>
      <w:r>
        <w:rPr>
          <w:rFonts w:hint="eastAsia" w:ascii="仿宋" w:hAnsi="仿宋" w:eastAsia="仿宋" w:cstheme="minorEastAsia"/>
          <w:color w:val="auto"/>
          <w:sz w:val="28"/>
          <w:szCs w:val="28"/>
          <w:highlight w:val="none"/>
          <w:u w:val="single"/>
        </w:rPr>
        <w:t xml:space="preserve"> </w:t>
      </w:r>
      <w:r>
        <w:rPr>
          <w:rFonts w:hint="eastAsia" w:ascii="仿宋" w:hAnsi="仿宋" w:eastAsia="仿宋" w:cstheme="minorEastAsia"/>
          <w:color w:val="000000" w:themeColor="text1"/>
          <w:sz w:val="28"/>
          <w:szCs w:val="28"/>
          <w14:textFill>
            <w14:solidFill>
              <w14:schemeClr w14:val="tx1"/>
            </w14:solidFill>
          </w14:textFill>
        </w:rPr>
        <w:t>。报价不得超过限价，报价应包含完成本次项目一切含税费用。</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1.10签订合同以甲方版本为准。</w:t>
      </w:r>
    </w:p>
    <w:p>
      <w:pPr>
        <w:jc w:val="left"/>
        <w:rPr>
          <w:rFonts w:hint="eastAsia"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1.11本文件规定外，招标人在招标期间发出的其他补充函件或文件修改均是招标文件的重要组成，对投标人起到约束作用。</w:t>
      </w:r>
    </w:p>
    <w:p>
      <w:pPr>
        <w:pStyle w:val="22"/>
        <w:keepNext w:val="0"/>
        <w:keepLines w:val="0"/>
        <w:pageBreakBefore w:val="0"/>
        <w:kinsoku/>
        <w:wordWrap/>
        <w:overflowPunct/>
        <w:topLinePunct w:val="0"/>
        <w:bidi w:val="0"/>
        <w:snapToGrid/>
        <w:spacing w:line="240" w:lineRule="auto"/>
        <w:jc w:val="both"/>
        <w:textAlignment w:val="auto"/>
        <w:outlineLvl w:val="9"/>
        <w:rPr>
          <w:rFonts w:hint="eastAsia" w:ascii="仿宋" w:hAnsi="仿宋" w:eastAsia="仿宋" w:cstheme="minorEastAsia"/>
          <w:color w:val="000000" w:themeColor="text1"/>
          <w:kern w:val="2"/>
          <w:sz w:val="28"/>
          <w:szCs w:val="28"/>
          <w:lang w:val="en-US" w:eastAsia="zh-CN" w:bidi="ar-SA"/>
          <w14:textFill>
            <w14:solidFill>
              <w14:schemeClr w14:val="tx1"/>
            </w14:solidFill>
          </w14:textFill>
        </w:rPr>
      </w:pPr>
      <w:r>
        <w:rPr>
          <w:rFonts w:hint="eastAsia" w:ascii="仿宋" w:hAnsi="仿宋" w:eastAsia="仿宋" w:cstheme="minorEastAsia"/>
          <w:color w:val="000000" w:themeColor="text1"/>
          <w:sz w:val="28"/>
          <w:szCs w:val="28"/>
          <w:lang w:val="en-US" w:eastAsia="zh-CN"/>
          <w14:textFill>
            <w14:solidFill>
              <w14:schemeClr w14:val="tx1"/>
            </w14:solidFill>
          </w14:textFill>
        </w:rPr>
        <w:t>1.12 投标人质</w:t>
      </w:r>
      <w:r>
        <w:rPr>
          <w:rFonts w:hint="eastAsia" w:ascii="仿宋" w:hAnsi="仿宋" w:eastAsia="仿宋" w:cstheme="minorEastAsia"/>
          <w:color w:val="000000" w:themeColor="text1"/>
          <w:kern w:val="2"/>
          <w:sz w:val="28"/>
          <w:szCs w:val="28"/>
          <w:lang w:val="en-US" w:eastAsia="zh-CN" w:bidi="ar-SA"/>
          <w14:textFill>
            <w14:solidFill>
              <w14:schemeClr w14:val="tx1"/>
            </w14:solidFill>
          </w14:textFill>
        </w:rPr>
        <w:t>疑：投标人对招标文件提出质疑的，应在法定期限内，逾期不予受理。</w:t>
      </w:r>
    </w:p>
    <w:p>
      <w:pPr>
        <w:pStyle w:val="22"/>
        <w:keepNext w:val="0"/>
        <w:keepLines w:val="0"/>
        <w:pageBreakBefore w:val="0"/>
        <w:kinsoku/>
        <w:wordWrap/>
        <w:overflowPunct/>
        <w:topLinePunct w:val="0"/>
        <w:bidi w:val="0"/>
        <w:snapToGrid/>
        <w:spacing w:line="240" w:lineRule="auto"/>
        <w:ind w:firstLine="560" w:firstLineChars="200"/>
        <w:jc w:val="both"/>
        <w:textAlignment w:val="auto"/>
        <w:outlineLvl w:val="9"/>
        <w:rPr>
          <w:rFonts w:hint="eastAsia" w:ascii="仿宋" w:hAnsi="仿宋" w:eastAsia="仿宋" w:cstheme="minorEastAsia"/>
          <w:color w:val="000000" w:themeColor="text1"/>
          <w:kern w:val="2"/>
          <w:sz w:val="28"/>
          <w:szCs w:val="28"/>
          <w:lang w:val="en-US" w:eastAsia="zh-CN" w:bidi="ar-SA"/>
          <w14:textFill>
            <w14:solidFill>
              <w14:schemeClr w14:val="tx1"/>
            </w14:solidFill>
          </w14:textFill>
        </w:rPr>
      </w:pPr>
      <w:r>
        <w:rPr>
          <w:rFonts w:hint="eastAsia" w:ascii="仿宋" w:hAnsi="仿宋" w:eastAsia="仿宋" w:cstheme="minorEastAsia"/>
          <w:color w:val="000000" w:themeColor="text1"/>
          <w:kern w:val="2"/>
          <w:sz w:val="28"/>
          <w:szCs w:val="28"/>
          <w:lang w:val="en-US" w:eastAsia="zh-CN" w:bidi="ar-SA"/>
          <w14:textFill>
            <w14:solidFill>
              <w14:schemeClr w14:val="tx1"/>
            </w14:solidFill>
          </w14:textFill>
        </w:rPr>
        <w:t>接收方式：现场递交、邮寄或电子邮件的形式，同时请电话联系采购人提醒接收质疑函。</w:t>
      </w:r>
    </w:p>
    <w:p>
      <w:pPr>
        <w:pStyle w:val="22"/>
        <w:keepNext w:val="0"/>
        <w:keepLines w:val="0"/>
        <w:pageBreakBefore w:val="0"/>
        <w:kinsoku/>
        <w:wordWrap/>
        <w:overflowPunct/>
        <w:topLinePunct w:val="0"/>
        <w:bidi w:val="0"/>
        <w:snapToGrid/>
        <w:spacing w:line="240" w:lineRule="auto"/>
        <w:jc w:val="both"/>
        <w:textAlignment w:val="auto"/>
        <w:outlineLvl w:val="9"/>
        <w:rPr>
          <w:rFonts w:hint="eastAsia" w:ascii="仿宋" w:hAnsi="仿宋" w:eastAsia="仿宋" w:cstheme="minorEastAsia"/>
          <w:color w:val="000000" w:themeColor="text1"/>
          <w:kern w:val="2"/>
          <w:sz w:val="28"/>
          <w:szCs w:val="28"/>
          <w:lang w:val="en-US" w:eastAsia="zh-CN" w:bidi="ar-SA"/>
          <w14:textFill>
            <w14:solidFill>
              <w14:schemeClr w14:val="tx1"/>
            </w14:solidFill>
          </w14:textFill>
        </w:rPr>
      </w:pPr>
      <w:r>
        <w:rPr>
          <w:rFonts w:hint="eastAsia" w:ascii="仿宋" w:hAnsi="仿宋" w:eastAsia="仿宋" w:cstheme="minorEastAsia"/>
          <w:color w:val="000000" w:themeColor="text1"/>
          <w:kern w:val="2"/>
          <w:sz w:val="28"/>
          <w:szCs w:val="28"/>
          <w:lang w:val="en-US" w:eastAsia="zh-CN" w:bidi="ar-SA"/>
          <w14:textFill>
            <w14:solidFill>
              <w14:schemeClr w14:val="tx1"/>
            </w14:solidFill>
          </w14:textFill>
        </w:rPr>
        <w:t xml:space="preserve">    地址：四川省成都市温江区芙蓉大道二段33号</w:t>
      </w:r>
    </w:p>
    <w:p>
      <w:pPr>
        <w:pStyle w:val="22"/>
        <w:keepNext w:val="0"/>
        <w:keepLines w:val="0"/>
        <w:pageBreakBefore w:val="0"/>
        <w:kinsoku/>
        <w:wordWrap/>
        <w:overflowPunct/>
        <w:topLinePunct w:val="0"/>
        <w:bidi w:val="0"/>
        <w:snapToGrid/>
        <w:spacing w:line="240" w:lineRule="auto"/>
        <w:ind w:firstLine="560" w:firstLineChars="200"/>
        <w:jc w:val="both"/>
        <w:textAlignment w:val="auto"/>
        <w:outlineLvl w:val="9"/>
        <w:rPr>
          <w:rFonts w:hint="eastAsia" w:ascii="仿宋" w:hAnsi="仿宋" w:eastAsia="仿宋" w:cstheme="minorEastAsia"/>
          <w:color w:val="000000" w:themeColor="text1"/>
          <w:kern w:val="2"/>
          <w:sz w:val="28"/>
          <w:szCs w:val="28"/>
          <w:lang w:val="en-US" w:eastAsia="zh-CN" w:bidi="ar-SA"/>
          <w14:textFill>
            <w14:solidFill>
              <w14:schemeClr w14:val="tx1"/>
            </w14:solidFill>
          </w14:textFill>
        </w:rPr>
      </w:pPr>
      <w:r>
        <w:rPr>
          <w:rFonts w:hint="eastAsia" w:ascii="仿宋" w:hAnsi="仿宋" w:eastAsia="仿宋" w:cstheme="minorEastAsia"/>
          <w:color w:val="000000" w:themeColor="text1"/>
          <w:kern w:val="2"/>
          <w:sz w:val="28"/>
          <w:szCs w:val="28"/>
          <w:lang w:val="en-US" w:eastAsia="zh-CN" w:bidi="ar-SA"/>
          <w14:textFill>
            <w14:solidFill>
              <w14:schemeClr w14:val="tx1"/>
            </w14:solidFill>
          </w14:textFill>
        </w:rPr>
        <w:t>邮箱：</w:t>
      </w:r>
      <w:r>
        <w:rPr>
          <w:rFonts w:hint="eastAsia" w:ascii="仿宋" w:hAnsi="仿宋" w:eastAsia="仿宋" w:cstheme="minorEastAsia"/>
          <w:color w:val="000000" w:themeColor="text1"/>
          <w:kern w:val="2"/>
          <w:sz w:val="28"/>
          <w:szCs w:val="28"/>
          <w:lang w:val="en-US" w:eastAsia="zh-CN" w:bidi="ar-SA"/>
          <w14:textFill>
            <w14:solidFill>
              <w14:schemeClr w14:val="tx1"/>
            </w14:solidFill>
          </w14:textFill>
        </w:rPr>
        <w:fldChar w:fldCharType="begin"/>
      </w:r>
      <w:r>
        <w:rPr>
          <w:rFonts w:hint="eastAsia" w:ascii="仿宋" w:hAnsi="仿宋" w:eastAsia="仿宋" w:cstheme="minorEastAsia"/>
          <w:color w:val="000000" w:themeColor="text1"/>
          <w:kern w:val="2"/>
          <w:sz w:val="28"/>
          <w:szCs w:val="28"/>
          <w:lang w:val="en-US" w:eastAsia="zh-CN" w:bidi="ar-SA"/>
          <w14:textFill>
            <w14:solidFill>
              <w14:schemeClr w14:val="tx1"/>
            </w14:solidFill>
          </w14:textFill>
        </w:rPr>
        <w:instrText xml:space="preserve"> HYPERLINK "mailto:sjyzxcg@163.com" </w:instrText>
      </w:r>
      <w:r>
        <w:rPr>
          <w:rFonts w:hint="eastAsia" w:ascii="仿宋" w:hAnsi="仿宋" w:eastAsia="仿宋" w:cstheme="minorEastAsia"/>
          <w:color w:val="000000" w:themeColor="text1"/>
          <w:kern w:val="2"/>
          <w:sz w:val="28"/>
          <w:szCs w:val="28"/>
          <w:lang w:val="en-US" w:eastAsia="zh-CN" w:bidi="ar-SA"/>
          <w14:textFill>
            <w14:solidFill>
              <w14:schemeClr w14:val="tx1"/>
            </w14:solidFill>
          </w14:textFill>
        </w:rPr>
        <w:fldChar w:fldCharType="separate"/>
      </w:r>
      <w:r>
        <w:rPr>
          <w:rFonts w:hint="eastAsia" w:ascii="仿宋" w:hAnsi="仿宋" w:eastAsia="仿宋" w:cstheme="minorEastAsia"/>
          <w:color w:val="000000" w:themeColor="text1"/>
          <w:kern w:val="2"/>
          <w:sz w:val="28"/>
          <w:szCs w:val="28"/>
          <w:lang w:val="en-US" w:eastAsia="zh-CN" w:bidi="ar-SA"/>
          <w14:textFill>
            <w14:solidFill>
              <w14:schemeClr w14:val="tx1"/>
            </w14:solidFill>
          </w14:textFill>
        </w:rPr>
        <w:t>sjyzxcg@163.com</w:t>
      </w:r>
      <w:r>
        <w:rPr>
          <w:rFonts w:hint="eastAsia" w:ascii="仿宋" w:hAnsi="仿宋" w:eastAsia="仿宋" w:cstheme="minorEastAsia"/>
          <w:color w:val="000000" w:themeColor="text1"/>
          <w:kern w:val="2"/>
          <w:sz w:val="28"/>
          <w:szCs w:val="28"/>
          <w:lang w:val="en-US" w:eastAsia="zh-CN" w:bidi="ar-SA"/>
          <w14:textFill>
            <w14:solidFill>
              <w14:schemeClr w14:val="tx1"/>
            </w14:solidFill>
          </w14:textFill>
        </w:rPr>
        <w:fldChar w:fldCharType="end"/>
      </w:r>
    </w:p>
    <w:p>
      <w:pPr>
        <w:pStyle w:val="22"/>
        <w:keepNext w:val="0"/>
        <w:keepLines w:val="0"/>
        <w:pageBreakBefore w:val="0"/>
        <w:kinsoku/>
        <w:wordWrap/>
        <w:overflowPunct/>
        <w:topLinePunct w:val="0"/>
        <w:bidi w:val="0"/>
        <w:snapToGrid/>
        <w:spacing w:line="240" w:lineRule="auto"/>
        <w:ind w:firstLine="560" w:firstLineChars="200"/>
        <w:jc w:val="both"/>
        <w:textAlignment w:val="auto"/>
        <w:outlineLvl w:val="9"/>
        <w:rPr>
          <w:rFonts w:hint="default" w:ascii="仿宋" w:hAnsi="仿宋" w:eastAsia="仿宋" w:cstheme="minorEastAsia"/>
          <w:color w:val="000000" w:themeColor="text1"/>
          <w:sz w:val="28"/>
          <w:szCs w:val="28"/>
          <w:lang w:val="en-US" w:eastAsia="zh-CN"/>
          <w14:textFill>
            <w14:solidFill>
              <w14:schemeClr w14:val="tx1"/>
            </w14:solidFill>
          </w14:textFill>
        </w:rPr>
      </w:pPr>
      <w:r>
        <w:rPr>
          <w:rFonts w:hint="eastAsia" w:ascii="仿宋" w:hAnsi="仿宋" w:eastAsia="仿宋" w:cstheme="minorEastAsia"/>
          <w:color w:val="000000" w:themeColor="text1"/>
          <w:kern w:val="2"/>
          <w:sz w:val="28"/>
          <w:szCs w:val="28"/>
          <w:lang w:val="en-US" w:eastAsia="zh-CN" w:bidi="ar-SA"/>
          <w14:textFill>
            <w14:solidFill>
              <w14:schemeClr w14:val="tx1"/>
            </w14:solidFill>
          </w14:textFill>
        </w:rPr>
        <w:t>电话：028-81020254</w:t>
      </w:r>
    </w:p>
    <w:p>
      <w:pPr>
        <w:numPr>
          <w:ilvl w:val="0"/>
          <w:numId w:val="1"/>
        </w:numPr>
        <w:jc w:val="left"/>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投标要求</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2.1招标内容：详见投标须知；</w:t>
      </w:r>
    </w:p>
    <w:p>
      <w:pPr>
        <w:ind w:left="560" w:hanging="560" w:hangingChars="200"/>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2.2招标规格及数量：详见投标须知；</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2.3投标要求：详见投标须知；</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2.4技术要求：详见招标文件技术部分；</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2.5供货要求：详见投标须知；</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2.6其他约定：</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2.6.1不论招标结果如何，投标人的投标文件不退回，且不对投标人作任何解释；</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2.6.2投标产生的一切费用由投标人自行承担；</w:t>
      </w:r>
    </w:p>
    <w:p>
      <w:pPr>
        <w:numPr>
          <w:ilvl w:val="0"/>
          <w:numId w:val="1"/>
        </w:numPr>
        <w:jc w:val="left"/>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投标文件的编制</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3.1投标文件的语言：招标人和投标人之间的所有函件往来必须使用汉语语言文字。</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3.2投标文件的组成（部分文件要求及格式见附件）：</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3.2.1 评标要素索引表</w:t>
      </w:r>
    </w:p>
    <w:p>
      <w:pPr>
        <w:pStyle w:val="5"/>
        <w:rPr>
          <w:rFonts w:ascii="仿宋" w:hAnsi="仿宋" w:eastAsia="仿宋"/>
          <w:color w:val="000000" w:themeColor="text1"/>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3.2.2 资格要求的响应</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3.2.2 技术参数的响应</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3.2.3 商务要求的响应</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（投标文件每页资料必须逐页加盖公司鲜章）</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3.4 投标文件正本一份，副本</w:t>
      </w:r>
      <w:r>
        <w:rPr>
          <w:rFonts w:hint="eastAsia" w:ascii="仿宋" w:hAnsi="仿宋" w:eastAsia="仿宋" w:cstheme="minorEastAsia"/>
          <w:color w:val="000000" w:themeColor="text1"/>
          <w:sz w:val="28"/>
          <w:szCs w:val="28"/>
          <w:lang w:val="en-US" w:eastAsia="zh-CN"/>
          <w14:textFill>
            <w14:solidFill>
              <w14:schemeClr w14:val="tx1"/>
            </w14:solidFill>
          </w14:textFill>
        </w:rPr>
        <w:t>四</w:t>
      </w:r>
      <w:r>
        <w:rPr>
          <w:rFonts w:hint="eastAsia" w:ascii="仿宋" w:hAnsi="仿宋" w:eastAsia="仿宋" w:cstheme="minorEastAsia"/>
          <w:color w:val="000000" w:themeColor="text1"/>
          <w:sz w:val="28"/>
          <w:szCs w:val="28"/>
          <w14:textFill>
            <w14:solidFill>
              <w14:schemeClr w14:val="tx1"/>
            </w14:solidFill>
          </w14:textFill>
        </w:rPr>
        <w:t>份。</w:t>
      </w:r>
    </w:p>
    <w:p>
      <w:pPr>
        <w:numPr>
          <w:ilvl w:val="0"/>
          <w:numId w:val="1"/>
        </w:numPr>
        <w:jc w:val="left"/>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招标、评选与中标通知书</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4.1.有下列情况之一都将被视为无效投标：</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4.1.1投标文件未按照投标文件的要求编制。</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4.1.2投标文件中的资料未加盖投标单位的公章。</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4.1.3报价若高于限价报价作无效报价处理。</w:t>
      </w:r>
    </w:p>
    <w:p>
      <w:pPr>
        <w:jc w:val="left"/>
        <w:rPr>
          <w:rFonts w:ascii="仿宋" w:hAnsi="仿宋" w:eastAsia="仿宋" w:cstheme="minorEastAsia"/>
          <w:color w:val="000000" w:themeColor="text1"/>
          <w:sz w:val="28"/>
          <w:szCs w:val="28"/>
          <w14:textFill>
            <w14:solidFill>
              <w14:schemeClr w14:val="tx1"/>
            </w14:solidFill>
          </w14:textFill>
        </w:rPr>
      </w:pPr>
      <w:r>
        <w:rPr>
          <w:rFonts w:ascii="仿宋" w:hAnsi="仿宋" w:eastAsia="仿宋" w:cstheme="minorEastAsia"/>
          <w:color w:val="000000" w:themeColor="text1"/>
          <w:sz w:val="28"/>
          <w:szCs w:val="28"/>
          <w14:textFill>
            <w14:solidFill>
              <w14:schemeClr w14:val="tx1"/>
            </w14:solidFill>
          </w14:textFill>
        </w:rPr>
        <w:t>4.1.4</w:t>
      </w:r>
      <w:r>
        <w:rPr>
          <w:rFonts w:hint="eastAsia" w:ascii="仿宋" w:hAnsi="仿宋" w:eastAsia="仿宋" w:cstheme="minorEastAsia"/>
          <w:b/>
          <w:color w:val="000000" w:themeColor="text1"/>
          <w:sz w:val="28"/>
          <w:szCs w:val="28"/>
          <w14:textFill>
            <w14:solidFill>
              <w14:schemeClr w14:val="tx1"/>
            </w14:solidFill>
          </w14:textFill>
        </w:rPr>
        <w:t>投标文件封面未按投标文件封面要求编制和封贴。</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4.2评标办法及标准：</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4.2.1按照文件规定，只对确定为符合文件的资质要求且实质上响应文件要求的参选文件进行评价和比较。</w:t>
      </w:r>
    </w:p>
    <w:p>
      <w:pPr>
        <w:jc w:val="left"/>
        <w:rPr>
          <w:rFonts w:hint="eastAsia" w:ascii="仿宋" w:hAnsi="仿宋" w:eastAsia="仿宋" w:cstheme="minorEastAsia"/>
          <w:b/>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4.2.2通过资格审查、技术部分和商务部分审查后，评审小组按照综合评分法确定成交人。</w:t>
      </w:r>
      <w:r>
        <w:rPr>
          <w:rFonts w:hint="eastAsia" w:ascii="仿宋" w:hAnsi="仿宋" w:eastAsia="仿宋" w:cstheme="minorEastAsia"/>
          <w:b/>
          <w:color w:val="000000" w:themeColor="text1"/>
          <w:sz w:val="28"/>
          <w:szCs w:val="28"/>
          <w14:textFill>
            <w14:solidFill>
              <w14:schemeClr w14:val="tx1"/>
            </w14:solidFill>
          </w14:textFill>
        </w:rPr>
        <w:t>合格供应商不足三家，予以</w:t>
      </w:r>
      <w:r>
        <w:rPr>
          <w:rFonts w:hint="eastAsia" w:ascii="仿宋" w:hAnsi="仿宋" w:eastAsia="仿宋" w:cstheme="minorEastAsia"/>
          <w:b/>
          <w:color w:val="000000" w:themeColor="text1"/>
          <w:sz w:val="28"/>
          <w:szCs w:val="28"/>
          <w:lang w:val="en-US" w:eastAsia="zh-CN"/>
          <w14:textFill>
            <w14:solidFill>
              <w14:schemeClr w14:val="tx1"/>
            </w14:solidFill>
          </w14:textFill>
        </w:rPr>
        <w:t>废标</w:t>
      </w:r>
      <w:r>
        <w:rPr>
          <w:rFonts w:hint="eastAsia" w:ascii="仿宋" w:hAnsi="仿宋" w:eastAsia="仿宋" w:cstheme="minorEastAsia"/>
          <w:b/>
          <w:color w:val="000000" w:themeColor="text1"/>
          <w:sz w:val="28"/>
          <w:szCs w:val="28"/>
          <w14:textFill>
            <w14:solidFill>
              <w14:schemeClr w14:val="tx1"/>
            </w14:solidFill>
          </w14:textFill>
        </w:rPr>
        <w:t>。</w:t>
      </w:r>
    </w:p>
    <w:p>
      <w:pPr>
        <w:pStyle w:val="5"/>
        <w:rPr>
          <w:rFonts w:ascii="仿宋" w:hAnsi="仿宋" w:eastAsia="仿宋"/>
          <w:color w:val="000000" w:themeColor="text1"/>
          <w14:textFill>
            <w14:solidFill>
              <w14:schemeClr w14:val="tx1"/>
            </w14:solidFill>
          </w14:textFill>
        </w:rPr>
      </w:pPr>
      <w:r>
        <w:rPr>
          <w:rFonts w:hint="eastAsia" w:ascii="仿宋" w:hAnsi="仿宋" w:eastAsia="仿宋" w:cstheme="minorEastAsia"/>
          <w:color w:val="000000" w:themeColor="text1"/>
          <w:kern w:val="2"/>
          <w:sz w:val="28"/>
          <w:szCs w:val="28"/>
          <w:lang w:val="en-US" w:eastAsia="zh-CN" w:bidi="ar-SA"/>
          <w14:textFill>
            <w14:solidFill>
              <w14:schemeClr w14:val="tx1"/>
            </w14:solidFill>
          </w14:textFill>
        </w:rPr>
        <w:t>4.2.3 发生评标委员会推荐排名第一供应商主动放弃中标、被质疑或举报等情况的，参照《关于采购人是否有权顺延确定中标或者成交供应商等问题的函》（财库便函</w:t>
      </w:r>
      <w:r>
        <w:rPr>
          <w:rFonts w:hint="eastAsia" w:ascii="仿宋" w:hAnsi="仿宋" w:eastAsia="仿宋" w:cs="仿宋"/>
          <w:color w:val="000000" w:themeColor="text1"/>
          <w:kern w:val="2"/>
          <w:sz w:val="28"/>
          <w:szCs w:val="28"/>
          <w:lang w:val="en-US" w:eastAsia="zh-CN" w:bidi="ar-SA"/>
          <w14:textFill>
            <w14:solidFill>
              <w14:schemeClr w14:val="tx1"/>
            </w14:solidFill>
          </w14:textFill>
        </w:rPr>
        <w:t>〔2019〕154号</w:t>
      </w:r>
      <w:r>
        <w:rPr>
          <w:rFonts w:hint="eastAsia" w:ascii="仿宋" w:hAnsi="仿宋" w:eastAsia="仿宋" w:cstheme="minorEastAsia"/>
          <w:color w:val="000000" w:themeColor="text1"/>
          <w:kern w:val="2"/>
          <w:sz w:val="28"/>
          <w:szCs w:val="28"/>
          <w:lang w:val="en-US" w:eastAsia="zh-CN" w:bidi="ar-SA"/>
          <w14:textFill>
            <w14:solidFill>
              <w14:schemeClr w14:val="tx1"/>
            </w14:solidFill>
          </w14:textFill>
        </w:rPr>
        <w:t>）处理。</w:t>
      </w:r>
    </w:p>
    <w:p>
      <w:pPr>
        <w:numPr>
          <w:ilvl w:val="0"/>
          <w:numId w:val="1"/>
        </w:numPr>
        <w:jc w:val="left"/>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资格要求、技术参数、商务要求</w:t>
      </w:r>
    </w:p>
    <w:p>
      <w:pPr>
        <w:pStyle w:val="6"/>
        <w:keepNext w:val="0"/>
        <w:keepLines w:val="0"/>
        <w:pageBreakBefore w:val="0"/>
        <w:kinsoku/>
        <w:wordWrap/>
        <w:overflowPunct/>
        <w:topLinePunct w:val="0"/>
        <w:autoSpaceDE/>
        <w:autoSpaceDN/>
        <w:bidi w:val="0"/>
        <w:adjustRightInd/>
        <w:snapToGrid/>
        <w:spacing w:beforeAutospacing="0" w:afterAutospacing="0"/>
        <w:ind w:firstLine="0" w:firstLineChars="0"/>
        <w:textAlignment w:val="auto"/>
        <w:rPr>
          <w:rFonts w:ascii="仿宋" w:hAnsi="仿宋" w:eastAsia="仿宋"/>
          <w:color w:val="000000"/>
          <w:sz w:val="27"/>
          <w:szCs w:val="27"/>
        </w:rPr>
      </w:pPr>
      <w:r>
        <w:rPr>
          <w:rFonts w:hint="eastAsia" w:ascii="仿宋" w:hAnsi="仿宋" w:eastAsia="仿宋"/>
          <w:color w:val="000000"/>
          <w:sz w:val="27"/>
          <w:szCs w:val="27"/>
        </w:rPr>
        <w:t>注意：本章采购需求中标注“▲”号的条款为本次采购项目的实质性要求，投标人应全部满足。</w:t>
      </w:r>
    </w:p>
    <w:p>
      <w:pPr>
        <w:pStyle w:val="10"/>
        <w:keepNext w:val="0"/>
        <w:keepLines w:val="0"/>
        <w:pageBreakBefore w:val="0"/>
        <w:kinsoku/>
        <w:wordWrap/>
        <w:overflowPunct/>
        <w:topLinePunct w:val="0"/>
        <w:autoSpaceDE/>
        <w:autoSpaceDN/>
        <w:bidi w:val="0"/>
        <w:adjustRightInd/>
        <w:snapToGrid/>
        <w:spacing w:before="0" w:beforeAutospacing="0" w:after="0" w:afterAutospacing="0"/>
        <w:ind w:firstLine="562" w:firstLineChars="200"/>
        <w:textAlignment w:val="auto"/>
        <w:rPr>
          <w:rFonts w:ascii="仿宋" w:hAnsi="仿宋" w:eastAsia="仿宋"/>
          <w:b/>
          <w:color w:val="000000"/>
          <w:sz w:val="28"/>
          <w:szCs w:val="27"/>
        </w:rPr>
      </w:pPr>
      <w:r>
        <w:rPr>
          <w:rFonts w:hint="eastAsia" w:ascii="仿宋" w:hAnsi="仿宋" w:eastAsia="仿宋"/>
          <w:b/>
          <w:color w:val="000000"/>
          <w:sz w:val="28"/>
          <w:szCs w:val="27"/>
        </w:rPr>
        <w:t>5.1资格要求</w:t>
      </w:r>
    </w:p>
    <w:p>
      <w:pPr>
        <w:pStyle w:val="10"/>
        <w:keepNext w:val="0"/>
        <w:keepLines w:val="0"/>
        <w:pageBreakBefore w:val="0"/>
        <w:kinsoku/>
        <w:wordWrap/>
        <w:overflowPunct/>
        <w:topLinePunct w:val="0"/>
        <w:autoSpaceDE/>
        <w:autoSpaceDN/>
        <w:bidi w:val="0"/>
        <w:adjustRightInd/>
        <w:snapToGrid/>
        <w:spacing w:before="0" w:beforeAutospacing="0" w:after="0" w:afterAutospacing="0"/>
        <w:ind w:firstLine="560" w:firstLineChars="200"/>
        <w:textAlignment w:val="auto"/>
        <w:rPr>
          <w:rFonts w:ascii="仿宋" w:hAnsi="仿宋" w:eastAsia="仿宋"/>
          <w:color w:val="000000"/>
          <w:sz w:val="28"/>
          <w:szCs w:val="27"/>
        </w:rPr>
      </w:pPr>
      <w:r>
        <w:rPr>
          <w:rFonts w:hint="eastAsia" w:ascii="仿宋" w:hAnsi="仿宋" w:eastAsia="仿宋"/>
          <w:color w:val="000000"/>
          <w:sz w:val="28"/>
          <w:szCs w:val="27"/>
        </w:rPr>
        <w:t>5</w:t>
      </w:r>
      <w:r>
        <w:rPr>
          <w:rFonts w:ascii="仿宋" w:hAnsi="仿宋" w:eastAsia="仿宋"/>
          <w:color w:val="000000"/>
          <w:sz w:val="28"/>
          <w:szCs w:val="27"/>
        </w:rPr>
        <w:t>.1.1</w:t>
      </w:r>
      <w:r>
        <w:rPr>
          <w:rFonts w:hint="eastAsia" w:ascii="仿宋" w:hAnsi="仿宋" w:eastAsia="仿宋"/>
          <w:color w:val="000000"/>
          <w:sz w:val="28"/>
          <w:szCs w:val="27"/>
        </w:rPr>
        <w:t>营业执照：①投标人若为企业法人：提供“统一社会信用代码营业执照”；②若为事业法人：提供“统一社会信用代码法人登记证书”；③若为其他组织：提供“对应主管部门颁发的准许执业证明文件或营业执照”；④投标人若为自然人：提供“身份证明材料”。以上均提供复印件。</w:t>
      </w:r>
    </w:p>
    <w:p>
      <w:pPr>
        <w:pStyle w:val="10"/>
        <w:keepNext w:val="0"/>
        <w:keepLines w:val="0"/>
        <w:pageBreakBefore w:val="0"/>
        <w:kinsoku/>
        <w:wordWrap/>
        <w:overflowPunct/>
        <w:topLinePunct w:val="0"/>
        <w:autoSpaceDE/>
        <w:autoSpaceDN/>
        <w:bidi w:val="0"/>
        <w:adjustRightInd/>
        <w:snapToGrid/>
        <w:spacing w:before="0" w:beforeAutospacing="0" w:after="0" w:afterAutospacing="0"/>
        <w:ind w:firstLine="560" w:firstLineChars="200"/>
        <w:textAlignment w:val="auto"/>
        <w:rPr>
          <w:rFonts w:ascii="仿宋" w:hAnsi="仿宋" w:eastAsia="仿宋"/>
          <w:color w:val="000000"/>
          <w:sz w:val="28"/>
          <w:szCs w:val="27"/>
        </w:rPr>
      </w:pPr>
      <w:r>
        <w:rPr>
          <w:rFonts w:hint="eastAsia" w:ascii="仿宋" w:hAnsi="仿宋" w:eastAsia="仿宋"/>
          <w:color w:val="000000"/>
          <w:sz w:val="28"/>
          <w:szCs w:val="27"/>
        </w:rPr>
        <w:t>5</w:t>
      </w:r>
      <w:r>
        <w:rPr>
          <w:rFonts w:ascii="仿宋" w:hAnsi="仿宋" w:eastAsia="仿宋"/>
          <w:color w:val="000000"/>
          <w:sz w:val="28"/>
          <w:szCs w:val="27"/>
        </w:rPr>
        <w:t>.1.2</w:t>
      </w:r>
      <w:r>
        <w:rPr>
          <w:rFonts w:hint="eastAsia" w:ascii="仿宋" w:hAnsi="仿宋" w:eastAsia="仿宋"/>
          <w:color w:val="000000"/>
          <w:sz w:val="28"/>
          <w:szCs w:val="27"/>
        </w:rPr>
        <w:t>体现健全的财务制度的证明材料：①可提供2018-2020年度（任意一年）经审计的财务报告复印件（包含审计报告和审计报告中所涉及的财务报表和报表附注）；②也可提供2018-2020年度（任意一年）投标人内部的财务报表复印件（至少包含资产负债表）；③也可提供距文件递交截止日一年内银行出具的资信证明（复印件）；④投标人注册时间至文件递交截止日不足一年的，也可提供在工商备案的公司章程（复印件）；⑤非营利性单位或者社会团体或者其他机关事业单位以符合财务会计制度为准或者提供承诺函（格式自拟）；⑥供应商为自然人的提供承诺函（格式自拟）。</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textAlignment w:val="auto"/>
        <w:rPr>
          <w:rFonts w:ascii="仿宋" w:hAnsi="仿宋" w:eastAsia="仿宋"/>
          <w:color w:val="000000"/>
          <w:sz w:val="28"/>
          <w:szCs w:val="27"/>
        </w:rPr>
      </w:pPr>
      <w:r>
        <w:rPr>
          <w:rFonts w:hint="eastAsia" w:ascii="仿宋" w:hAnsi="仿宋" w:eastAsia="仿宋"/>
          <w:color w:val="000000"/>
          <w:sz w:val="28"/>
          <w:szCs w:val="27"/>
        </w:rPr>
        <w:t>5</w:t>
      </w:r>
      <w:r>
        <w:rPr>
          <w:rFonts w:ascii="仿宋" w:hAnsi="仿宋" w:eastAsia="仿宋"/>
          <w:color w:val="000000"/>
          <w:sz w:val="28"/>
          <w:szCs w:val="27"/>
        </w:rPr>
        <w:t>.1.3</w:t>
      </w:r>
      <w:r>
        <w:rPr>
          <w:rFonts w:hint="eastAsia" w:ascii="仿宋" w:hAnsi="仿宋" w:eastAsia="仿宋"/>
          <w:color w:val="000000"/>
          <w:sz w:val="28"/>
          <w:szCs w:val="27"/>
        </w:rPr>
        <w:t>提供投标人单位及其现任法定代表人、主要负责人在参加政府采购活动前三年内无行贿犯罪记录的承诺函（注：如经核实属虚假承诺的，将做无效投标处理）。</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textAlignment w:val="auto"/>
        <w:rPr>
          <w:rFonts w:ascii="仿宋" w:hAnsi="仿宋" w:eastAsia="仿宋"/>
          <w:color w:val="000000"/>
          <w:sz w:val="28"/>
          <w:szCs w:val="27"/>
        </w:rPr>
      </w:pPr>
      <w:r>
        <w:rPr>
          <w:rFonts w:hint="eastAsia" w:ascii="仿宋" w:hAnsi="仿宋" w:eastAsia="仿宋"/>
          <w:color w:val="000000"/>
          <w:sz w:val="28"/>
          <w:szCs w:val="27"/>
        </w:rPr>
        <w:t>5</w:t>
      </w:r>
      <w:r>
        <w:rPr>
          <w:rFonts w:ascii="仿宋" w:hAnsi="仿宋" w:eastAsia="仿宋"/>
          <w:color w:val="000000"/>
          <w:sz w:val="28"/>
          <w:szCs w:val="27"/>
        </w:rPr>
        <w:t>.1.4</w:t>
      </w:r>
      <w:r>
        <w:rPr>
          <w:rFonts w:hint="eastAsia" w:ascii="仿宋" w:hAnsi="仿宋" w:eastAsia="仿宋"/>
          <w:color w:val="000000"/>
          <w:sz w:val="28"/>
          <w:szCs w:val="27"/>
        </w:rPr>
        <w:t>投标人须提供依法缴纳税收和社会保障资金的承诺函原件或者近三个月依法缴纳税收和社会保障资金的证明材料复印件。</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textAlignment w:val="auto"/>
        <w:rPr>
          <w:rFonts w:ascii="仿宋" w:hAnsi="仿宋" w:eastAsia="仿宋"/>
          <w:color w:val="000000"/>
          <w:sz w:val="28"/>
          <w:szCs w:val="27"/>
        </w:rPr>
      </w:pPr>
      <w:r>
        <w:rPr>
          <w:rFonts w:hint="eastAsia" w:ascii="仿宋" w:hAnsi="仿宋" w:eastAsia="仿宋"/>
          <w:color w:val="000000"/>
          <w:sz w:val="28"/>
          <w:szCs w:val="27"/>
        </w:rPr>
        <w:t>5</w:t>
      </w:r>
      <w:r>
        <w:rPr>
          <w:rFonts w:ascii="仿宋" w:hAnsi="仿宋" w:eastAsia="仿宋"/>
          <w:color w:val="000000"/>
          <w:sz w:val="28"/>
          <w:szCs w:val="27"/>
        </w:rPr>
        <w:t>.1.5</w:t>
      </w:r>
      <w:r>
        <w:rPr>
          <w:rFonts w:hint="eastAsia" w:ascii="仿宋" w:hAnsi="仿宋" w:eastAsia="仿宋"/>
          <w:color w:val="000000"/>
          <w:sz w:val="28"/>
          <w:szCs w:val="27"/>
        </w:rPr>
        <w:t>法定代表人身份证复印件。</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textAlignment w:val="auto"/>
        <w:rPr>
          <w:rFonts w:ascii="仿宋" w:hAnsi="仿宋" w:eastAsia="仿宋"/>
          <w:color w:val="000000"/>
          <w:sz w:val="28"/>
          <w:szCs w:val="27"/>
        </w:rPr>
      </w:pPr>
      <w:r>
        <w:rPr>
          <w:rFonts w:hint="eastAsia" w:ascii="仿宋" w:hAnsi="仿宋" w:eastAsia="仿宋"/>
          <w:color w:val="000000"/>
          <w:sz w:val="28"/>
          <w:szCs w:val="27"/>
        </w:rPr>
        <w:t>5</w:t>
      </w:r>
      <w:r>
        <w:rPr>
          <w:rFonts w:ascii="仿宋" w:hAnsi="仿宋" w:eastAsia="仿宋"/>
          <w:color w:val="000000"/>
          <w:sz w:val="28"/>
          <w:szCs w:val="27"/>
        </w:rPr>
        <w:t>.1.</w:t>
      </w:r>
      <w:r>
        <w:rPr>
          <w:rFonts w:hint="eastAsia" w:ascii="仿宋" w:hAnsi="仿宋" w:eastAsia="仿宋"/>
          <w:color w:val="000000"/>
          <w:sz w:val="28"/>
          <w:szCs w:val="27"/>
          <w:lang w:val="en-US" w:eastAsia="zh-CN"/>
        </w:rPr>
        <w:t>6</w:t>
      </w:r>
      <w:r>
        <w:rPr>
          <w:rFonts w:hint="eastAsia" w:ascii="仿宋" w:hAnsi="仿宋" w:eastAsia="仿宋"/>
          <w:color w:val="000000"/>
          <w:sz w:val="28"/>
          <w:szCs w:val="27"/>
        </w:rPr>
        <w:t>法定代表人授权书（格式4）原件和授权代表身份证复印件（投标人代表为非法定代表人时提供）。</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270" w:firstLineChars="100"/>
        <w:textAlignment w:val="auto"/>
        <w:rPr>
          <w:rFonts w:hint="eastAsia" w:ascii="仿宋" w:hAnsi="仿宋" w:eastAsia="仿宋"/>
          <w:b/>
          <w:color w:val="000000"/>
          <w:sz w:val="28"/>
          <w:szCs w:val="27"/>
          <w:lang w:eastAsia="zh-CN"/>
        </w:rPr>
      </w:pPr>
      <w:r>
        <w:rPr>
          <w:rFonts w:hint="eastAsia" w:ascii="仿宋" w:hAnsi="仿宋" w:eastAsia="仿宋"/>
          <w:color w:val="000000"/>
          <w:sz w:val="27"/>
          <w:szCs w:val="27"/>
        </w:rPr>
        <w:t>▲</w:t>
      </w:r>
      <w:r>
        <w:rPr>
          <w:rFonts w:hint="eastAsia" w:ascii="仿宋" w:hAnsi="仿宋" w:eastAsia="仿宋"/>
          <w:b/>
          <w:color w:val="000000"/>
          <w:sz w:val="28"/>
          <w:szCs w:val="27"/>
        </w:rPr>
        <w:t>5.</w:t>
      </w:r>
      <w:r>
        <w:rPr>
          <w:rFonts w:ascii="仿宋" w:hAnsi="仿宋" w:eastAsia="仿宋"/>
          <w:b/>
          <w:color w:val="000000"/>
          <w:sz w:val="28"/>
          <w:szCs w:val="27"/>
        </w:rPr>
        <w:t>2</w:t>
      </w:r>
      <w:r>
        <w:rPr>
          <w:rFonts w:hint="eastAsia" w:ascii="仿宋" w:hAnsi="仿宋" w:eastAsia="仿宋"/>
          <w:b/>
          <w:color w:val="000000"/>
          <w:sz w:val="28"/>
          <w:szCs w:val="27"/>
          <w:lang w:val="en-US" w:eastAsia="zh-CN"/>
        </w:rPr>
        <w:t>技术需求</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rPr>
      </w:pPr>
      <w:r>
        <w:rPr>
          <w:rFonts w:hint="eastAsia" w:ascii="仿宋" w:hAnsi="仿宋" w:eastAsia="仿宋"/>
          <w:color w:val="000000"/>
          <w:sz w:val="28"/>
          <w:szCs w:val="27"/>
          <w:lang w:val="en-US" w:eastAsia="zh-CN"/>
        </w:rPr>
        <w:t>5.2.1测评范围</w:t>
      </w:r>
      <w:r>
        <w:rPr>
          <w:rFonts w:hint="eastAsia" w:ascii="仿宋" w:hAnsi="仿宋" w:eastAsia="仿宋"/>
          <w:color w:val="000000"/>
          <w:sz w:val="28"/>
          <w:szCs w:val="27"/>
        </w:rPr>
        <w:t>覆盖安全管理中心、安全物理环境、安全通信网络、安全区域边界、安全计算环境、安全管理制度等基本要求，以及云计算安全、移动互联安全、物联网安全、工控制系统安全等扩展方面的要求。</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rPr>
      </w:pPr>
      <w:r>
        <w:rPr>
          <w:rFonts w:hint="eastAsia" w:ascii="仿宋" w:hAnsi="仿宋" w:eastAsia="仿宋"/>
          <w:color w:val="000000"/>
          <w:sz w:val="28"/>
          <w:szCs w:val="27"/>
          <w:lang w:val="en-US" w:eastAsia="zh-CN"/>
        </w:rPr>
        <w:t>5.2.2</w:t>
      </w:r>
      <w:r>
        <w:rPr>
          <w:rFonts w:hint="eastAsia" w:ascii="仿宋" w:hAnsi="仿宋" w:eastAsia="仿宋"/>
          <w:color w:val="000000"/>
          <w:sz w:val="28"/>
          <w:szCs w:val="27"/>
        </w:rPr>
        <w:t>服务内容</w:t>
      </w:r>
      <w:r>
        <w:rPr>
          <w:rFonts w:hint="eastAsia" w:ascii="仿宋" w:hAnsi="仿宋" w:eastAsia="仿宋"/>
          <w:color w:val="000000"/>
          <w:sz w:val="28"/>
          <w:szCs w:val="27"/>
          <w:lang w:val="en-US" w:eastAsia="zh-CN"/>
        </w:rPr>
        <w:t>位</w:t>
      </w:r>
      <w:r>
        <w:rPr>
          <w:rFonts w:hint="eastAsia" w:ascii="仿宋" w:hAnsi="仿宋" w:eastAsia="仿宋"/>
          <w:color w:val="000000"/>
          <w:sz w:val="28"/>
          <w:szCs w:val="27"/>
        </w:rPr>
        <w:t>协助业主单位进行信息系统的信息安全等级测评、定级和备案工作，具体内容如下：</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5.2.2.1差距测评：</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（1）安全技术测评，包括安全物理环境、安全通信网络、安全区域边界、安全计算环境、安全管理中心方面的安全测评。</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（2）安全管理测评，包括安全管理制度、安全管理机构、安全管理人员、安全系统建设和安全系统运维五个方面的安全测评。</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5.2.2.2汇总差距测评结果并形成整改报告：</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（1）依据差距测评结果，对差距测评结果进行汇总统计，包括测评项符合情况及比例、单元测评结果符合情况比例以及整体测评结果等；</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（2）通过对信息系统基本安全保护状态的分析给出初步测评结论；</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（3）根据测评结果制定《系统等级保护测评问题汇总及整改意见报告》，列出被测信息系统中存在的主要问题；</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（4）根据主要问题提出整改意见，制作整改意见报告。</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5.2.2.3根据整改意见报告，协助业主单位完成整改工作，在安全整改全过程提供技术咨询服务；</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5.2.2.4编制《网络安全等级测评报告》；</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5.2.2.5协助业主单位将《网络安全等级测评报告》提交相关部门备案。</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5.2.3在本项目完成后，服务方须提供以下文档资料：</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5.2.3.1《信息系统安全问题汇总及整改建议》；</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textAlignment w:val="auto"/>
        <w:rPr>
          <w:rFonts w:hint="default" w:ascii="仿宋" w:hAnsi="仿宋" w:eastAsia="仿宋"/>
          <w:color w:val="000000"/>
          <w:sz w:val="28"/>
          <w:szCs w:val="27"/>
          <w:lang w:val="en-US" w:eastAsia="zh-CN"/>
        </w:rPr>
      </w:pPr>
      <w:r>
        <w:rPr>
          <w:rFonts w:hint="eastAsia" w:ascii="仿宋" w:hAnsi="仿宋" w:eastAsia="仿宋"/>
          <w:color w:val="000000"/>
          <w:sz w:val="28"/>
          <w:szCs w:val="27"/>
          <w:lang w:val="en-US" w:eastAsia="zh-CN"/>
        </w:rPr>
        <w:t>5.2.3.2《网络安全等级保护等级测评报告》及过程资料。</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560" w:firstLineChars="200"/>
        <w:textAlignment w:val="auto"/>
        <w:rPr>
          <w:rFonts w:hint="eastAsia" w:ascii="仿宋" w:hAnsi="仿宋" w:eastAsia="仿宋"/>
          <w:b w:val="0"/>
          <w:bCs/>
          <w:color w:val="000000"/>
          <w:sz w:val="28"/>
          <w:szCs w:val="27"/>
          <w:lang w:eastAsia="zh-CN"/>
        </w:rPr>
      </w:pPr>
      <w:r>
        <w:rPr>
          <w:rFonts w:hint="eastAsia" w:ascii="仿宋" w:hAnsi="仿宋" w:eastAsia="仿宋"/>
          <w:b w:val="0"/>
          <w:bCs/>
          <w:color w:val="000000"/>
          <w:sz w:val="28"/>
          <w:szCs w:val="27"/>
        </w:rPr>
        <w:t>5.</w:t>
      </w:r>
      <w:r>
        <w:rPr>
          <w:rFonts w:hint="eastAsia" w:ascii="仿宋" w:hAnsi="仿宋" w:eastAsia="仿宋"/>
          <w:b w:val="0"/>
          <w:bCs/>
          <w:color w:val="000000"/>
          <w:sz w:val="28"/>
          <w:szCs w:val="27"/>
          <w:lang w:val="en-US" w:eastAsia="zh-CN"/>
        </w:rPr>
        <w:t>2.4</w:t>
      </w:r>
      <w:r>
        <w:rPr>
          <w:rFonts w:hint="eastAsia" w:ascii="仿宋" w:hAnsi="仿宋" w:eastAsia="仿宋"/>
          <w:b w:val="0"/>
          <w:bCs/>
          <w:color w:val="000000"/>
          <w:sz w:val="28"/>
          <w:szCs w:val="27"/>
        </w:rPr>
        <w:t>测评内容与</w:t>
      </w:r>
      <w:r>
        <w:rPr>
          <w:rFonts w:hint="eastAsia" w:ascii="仿宋" w:hAnsi="仿宋" w:eastAsia="仿宋"/>
          <w:b w:val="0"/>
          <w:bCs/>
          <w:color w:val="000000"/>
          <w:sz w:val="28"/>
          <w:szCs w:val="27"/>
          <w:lang w:val="en-US" w:eastAsia="zh-CN"/>
        </w:rPr>
        <w:t>基本要求</w:t>
      </w:r>
    </w:p>
    <w:tbl>
      <w:tblPr>
        <w:tblStyle w:val="11"/>
        <w:tblW w:w="8522" w:type="dxa"/>
        <w:tblInd w:w="0" w:type="dxa"/>
        <w:tblLayout w:type="fixed"/>
        <w:tblCellMar>
          <w:top w:w="0" w:type="dxa"/>
          <w:left w:w="108" w:type="dxa"/>
          <w:bottom w:w="0" w:type="dxa"/>
          <w:right w:w="108" w:type="dxa"/>
        </w:tblCellMar>
      </w:tblPr>
      <w:tblGrid>
        <w:gridCol w:w="1242"/>
        <w:gridCol w:w="1701"/>
        <w:gridCol w:w="5579"/>
      </w:tblGrid>
      <w:tr>
        <w:tblPrEx>
          <w:tblCellMar>
            <w:top w:w="0" w:type="dxa"/>
            <w:left w:w="108" w:type="dxa"/>
            <w:bottom w:w="0" w:type="dxa"/>
            <w:right w:w="108" w:type="dxa"/>
          </w:tblCellMar>
        </w:tblPrEx>
        <w:trPr>
          <w:trHeight w:val="119" w:hRule="atLeast"/>
          <w:tblHeader/>
        </w:trPr>
        <w:tc>
          <w:tcPr>
            <w:tcW w:w="1242"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 w:hAnsi="仿宋" w:eastAsia="仿宋" w:cs="宋体"/>
                <w:b w:val="0"/>
                <w:bCs w:val="0"/>
                <w:color w:val="000000"/>
                <w:kern w:val="0"/>
                <w:sz w:val="28"/>
                <w:szCs w:val="28"/>
                <w:lang w:val="en-US" w:eastAsia="zh-CN" w:bidi="ar-SA"/>
              </w:rPr>
            </w:pPr>
            <w:r>
              <w:rPr>
                <w:rFonts w:hint="eastAsia" w:ascii="仿宋" w:hAnsi="仿宋" w:eastAsia="仿宋" w:cs="宋体"/>
                <w:b w:val="0"/>
                <w:bCs w:val="0"/>
                <w:color w:val="000000"/>
                <w:kern w:val="0"/>
                <w:sz w:val="28"/>
                <w:szCs w:val="28"/>
                <w:lang w:val="en-US" w:eastAsia="zh-CN" w:bidi="ar-SA"/>
              </w:rPr>
              <w:t>分类</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仿宋" w:hAnsi="仿宋" w:eastAsia="仿宋" w:cs="宋体"/>
                <w:b w:val="0"/>
                <w:bCs w:val="0"/>
                <w:color w:val="000000"/>
                <w:kern w:val="0"/>
                <w:sz w:val="28"/>
                <w:szCs w:val="28"/>
                <w:lang w:val="en-US" w:eastAsia="zh-CN" w:bidi="ar-SA"/>
              </w:rPr>
            </w:pPr>
            <w:r>
              <w:rPr>
                <w:rFonts w:hint="eastAsia" w:ascii="仿宋" w:hAnsi="仿宋" w:eastAsia="仿宋" w:cs="宋体"/>
                <w:b w:val="0"/>
                <w:bCs w:val="0"/>
                <w:color w:val="000000"/>
                <w:kern w:val="0"/>
                <w:sz w:val="28"/>
                <w:szCs w:val="28"/>
                <w:lang w:val="en-US" w:eastAsia="zh-CN" w:bidi="ar-SA"/>
              </w:rPr>
              <w:t>子类</w:t>
            </w:r>
          </w:p>
        </w:tc>
        <w:tc>
          <w:tcPr>
            <w:tcW w:w="557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宋体"/>
                <w:b w:val="0"/>
                <w:bCs w:val="0"/>
                <w:color w:val="000000"/>
                <w:kern w:val="0"/>
                <w:sz w:val="28"/>
                <w:szCs w:val="28"/>
                <w:lang w:val="en-US" w:eastAsia="zh-CN" w:bidi="ar-SA"/>
              </w:rPr>
            </w:pPr>
            <w:r>
              <w:rPr>
                <w:rFonts w:hint="eastAsia" w:ascii="仿宋" w:hAnsi="仿宋" w:eastAsia="仿宋" w:cs="宋体"/>
                <w:b w:val="0"/>
                <w:bCs w:val="0"/>
                <w:color w:val="000000"/>
                <w:kern w:val="0"/>
                <w:sz w:val="28"/>
                <w:szCs w:val="28"/>
                <w:lang w:val="en-US" w:eastAsia="zh-CN" w:bidi="ar-SA"/>
              </w:rPr>
              <w:t>基本要求</w:t>
            </w:r>
          </w:p>
        </w:tc>
      </w:tr>
      <w:tr>
        <w:tblPrEx>
          <w:tblCellMar>
            <w:top w:w="0" w:type="dxa"/>
            <w:left w:w="108" w:type="dxa"/>
            <w:bottom w:w="0" w:type="dxa"/>
            <w:right w:w="108" w:type="dxa"/>
          </w:tblCellMar>
        </w:tblPrEx>
        <w:trPr>
          <w:trHeight w:val="20" w:hRule="atLeast"/>
        </w:trPr>
        <w:tc>
          <w:tcPr>
            <w:tcW w:w="124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安全物理环境</w:t>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物理位置选择</w:t>
            </w:r>
          </w:p>
        </w:tc>
        <w:tc>
          <w:tcPr>
            <w:tcW w:w="5579" w:type="dxa"/>
            <w:tcBorders>
              <w:top w:val="single" w:color="auto" w:sz="4" w:space="0"/>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机房场地应选择在具有防震、防风和防雨等能力的建筑内;</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机房场地应避免设在建筑物的顶层或地下室，否则应加强防水和防潮措施。</w:t>
            </w:r>
          </w:p>
        </w:tc>
      </w:tr>
      <w:tr>
        <w:tblPrEx>
          <w:tblCellMar>
            <w:top w:w="0" w:type="dxa"/>
            <w:left w:w="108" w:type="dxa"/>
            <w:bottom w:w="0" w:type="dxa"/>
            <w:right w:w="108" w:type="dxa"/>
          </w:tblCellMar>
        </w:tblPrEx>
        <w:trPr>
          <w:trHeight w:val="20" w:hRule="atLeast"/>
        </w:trPr>
        <w:tc>
          <w:tcPr>
            <w:tcW w:w="12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物理访问控制</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机房出入口应配置电子门禁系统，控制、鉴别和记录进入的人员。</w:t>
            </w:r>
          </w:p>
        </w:tc>
      </w:tr>
      <w:tr>
        <w:tblPrEx>
          <w:tblCellMar>
            <w:top w:w="0" w:type="dxa"/>
            <w:left w:w="108" w:type="dxa"/>
            <w:bottom w:w="0" w:type="dxa"/>
            <w:right w:w="108" w:type="dxa"/>
          </w:tblCellMar>
        </w:tblPrEx>
        <w:trPr>
          <w:trHeight w:val="20" w:hRule="atLeast"/>
        </w:trPr>
        <w:tc>
          <w:tcPr>
            <w:tcW w:w="12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防盗窃和防破坏</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应将设备或主要部件进行固定，并设置明显的不易除去的标识;</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应将通信线缆铺设在隐蔽安全处。</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c）应设置机房防盗报警系统或设置有专人值守的视频监控系统。</w:t>
            </w:r>
          </w:p>
        </w:tc>
      </w:tr>
      <w:tr>
        <w:tblPrEx>
          <w:tblCellMar>
            <w:top w:w="0" w:type="dxa"/>
            <w:left w:w="108" w:type="dxa"/>
            <w:bottom w:w="0" w:type="dxa"/>
            <w:right w:w="108" w:type="dxa"/>
          </w:tblCellMar>
        </w:tblPrEx>
        <w:trPr>
          <w:trHeight w:val="20" w:hRule="atLeast"/>
        </w:trPr>
        <w:tc>
          <w:tcPr>
            <w:tcW w:w="12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防雷击</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应将各类机柜、设施和设备等通过接地系统安全接地。</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应采取措施防止感应雷，例如设置防雷保安器或过压保护装置等。</w:t>
            </w:r>
          </w:p>
        </w:tc>
      </w:tr>
      <w:tr>
        <w:tblPrEx>
          <w:tblCellMar>
            <w:top w:w="0" w:type="dxa"/>
            <w:left w:w="108" w:type="dxa"/>
            <w:bottom w:w="0" w:type="dxa"/>
            <w:right w:w="108" w:type="dxa"/>
          </w:tblCellMar>
        </w:tblPrEx>
        <w:trPr>
          <w:trHeight w:val="20" w:hRule="atLeast"/>
        </w:trPr>
        <w:tc>
          <w:tcPr>
            <w:tcW w:w="12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防火</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机房应设置火灾自动消防系统，能够自动检测火情、自动报警，并自动灭火;</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机房及相关的工作房间和辅助房应采用具有耐火等级的建筑材料;</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c）应对机房划分区域进行管理，区域和区域之间设置隔离防火措施。</w:t>
            </w:r>
          </w:p>
        </w:tc>
      </w:tr>
      <w:tr>
        <w:tblPrEx>
          <w:tblCellMar>
            <w:top w:w="0" w:type="dxa"/>
            <w:left w:w="108" w:type="dxa"/>
            <w:bottom w:w="0" w:type="dxa"/>
            <w:right w:w="108" w:type="dxa"/>
          </w:tblCellMar>
        </w:tblPrEx>
        <w:trPr>
          <w:trHeight w:val="20" w:hRule="atLeast"/>
        </w:trPr>
        <w:tc>
          <w:tcPr>
            <w:tcW w:w="12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防水和防潮</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应采取措施防止雨水通过机房窗户、屋顶和墙壁渗透;</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应采取措施防止机房内水蒸气结露和地下积水的转移与渗透;</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c）应安装对水敏感的检测仪表或元件，对机房进行防水检测和报警。</w:t>
            </w:r>
          </w:p>
        </w:tc>
      </w:tr>
      <w:tr>
        <w:tblPrEx>
          <w:tblCellMar>
            <w:top w:w="0" w:type="dxa"/>
            <w:left w:w="108" w:type="dxa"/>
            <w:bottom w:w="0" w:type="dxa"/>
            <w:right w:w="108" w:type="dxa"/>
          </w:tblCellMar>
        </w:tblPrEx>
        <w:trPr>
          <w:trHeight w:val="20" w:hRule="atLeast"/>
        </w:trPr>
        <w:tc>
          <w:tcPr>
            <w:tcW w:w="12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防静电</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应采用防静电地板或地面并采用必要的接地防静电措施;</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b）应采取措施防止静电的产生，例如采用静电消除器、佩戴防静电手环等。</w:t>
            </w:r>
          </w:p>
        </w:tc>
      </w:tr>
      <w:tr>
        <w:tblPrEx>
          <w:tblCellMar>
            <w:top w:w="0" w:type="dxa"/>
            <w:left w:w="108" w:type="dxa"/>
            <w:bottom w:w="0" w:type="dxa"/>
            <w:right w:w="108" w:type="dxa"/>
          </w:tblCellMar>
        </w:tblPrEx>
        <w:trPr>
          <w:trHeight w:val="20" w:hRule="atLeast"/>
        </w:trPr>
        <w:tc>
          <w:tcPr>
            <w:tcW w:w="12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温湿度控制</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应设置温湿度自动调节设施，使机房温湿度的变化在设备运行所允许的范围之内。</w:t>
            </w:r>
          </w:p>
        </w:tc>
      </w:tr>
      <w:tr>
        <w:tblPrEx>
          <w:tblCellMar>
            <w:top w:w="0" w:type="dxa"/>
            <w:left w:w="108" w:type="dxa"/>
            <w:bottom w:w="0" w:type="dxa"/>
            <w:right w:w="108" w:type="dxa"/>
          </w:tblCellMar>
        </w:tblPrEx>
        <w:trPr>
          <w:trHeight w:val="20" w:hRule="atLeast"/>
        </w:trPr>
        <w:tc>
          <w:tcPr>
            <w:tcW w:w="12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电力供应</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应在机房供电线路上配置稳压器和过电压防护设备;</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应提供短期的备用电力供应，至少满足设备在断电情况下的正常运行要求;</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c）应设置冗余或并行的电力电缆线路为计算机系统供电。</w:t>
            </w:r>
          </w:p>
        </w:tc>
      </w:tr>
      <w:tr>
        <w:tblPrEx>
          <w:tblCellMar>
            <w:top w:w="0" w:type="dxa"/>
            <w:left w:w="108" w:type="dxa"/>
            <w:bottom w:w="0" w:type="dxa"/>
            <w:right w:w="108" w:type="dxa"/>
          </w:tblCellMar>
        </w:tblPrEx>
        <w:trPr>
          <w:trHeight w:val="20" w:hRule="atLeast"/>
        </w:trPr>
        <w:tc>
          <w:tcPr>
            <w:tcW w:w="124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电磁防护</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电源线和通信线缆应隔离铺设，避免互相干扰;</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b）应对关键设备实施电磁屏蔽。</w:t>
            </w:r>
          </w:p>
        </w:tc>
      </w:tr>
      <w:tr>
        <w:tblPrEx>
          <w:tblCellMar>
            <w:top w:w="0" w:type="dxa"/>
            <w:left w:w="108" w:type="dxa"/>
            <w:bottom w:w="0" w:type="dxa"/>
            <w:right w:w="108" w:type="dxa"/>
          </w:tblCellMar>
        </w:tblPrEx>
        <w:trPr>
          <w:trHeight w:val="20" w:hRule="atLeast"/>
        </w:trPr>
        <w:tc>
          <w:tcPr>
            <w:tcW w:w="1242" w:type="dxa"/>
            <w:vMerge w:val="restart"/>
            <w:tcBorders>
              <w:top w:val="nil"/>
              <w:left w:val="single" w:color="auto" w:sz="4" w:space="0"/>
              <w:bottom w:val="single" w:color="000000"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安全通信网络</w:t>
            </w: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网络架构</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应保证网络设备的业务处理能力满足业务高峰期需要;</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应保证网络各个部分的带宽满足业务高峰期需要;</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 应划分不同的网络区域，并按照方便管理和控制的原则为各网络区域分配地址;</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d) 应避免将重要网络区域部署在边界处，重要网络区域与其他网络区域之间应采取可靠的技术隔离手段;</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e) 应提供通信线路、关键网络设备和关键计算设备的硬件冗余，保证系统的可用性。</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通信传输</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应采用校验技术或密码技术保证通信过程中数据的完整性;</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应采用密码技术保证通信过程中数据的保密性。</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可信验证</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可基于可信根对通信设备的系统引导程序、系统程序、重要配置参数和通信应用程序等进行可信验证，应用程序的关键执行环节进行动态可信验证，在检测到其可信性受到破坏后进行报警，并将验证结果形成审计记录送至安全管理中心。</w:t>
            </w:r>
          </w:p>
        </w:tc>
      </w:tr>
      <w:tr>
        <w:tblPrEx>
          <w:tblCellMar>
            <w:top w:w="0" w:type="dxa"/>
            <w:left w:w="108" w:type="dxa"/>
            <w:bottom w:w="0" w:type="dxa"/>
            <w:right w:w="108" w:type="dxa"/>
          </w:tblCellMar>
        </w:tblPrEx>
        <w:trPr>
          <w:trHeight w:val="20" w:hRule="atLeast"/>
        </w:trPr>
        <w:tc>
          <w:tcPr>
            <w:tcW w:w="1242" w:type="dxa"/>
            <w:vMerge w:val="restart"/>
            <w:tcBorders>
              <w:top w:val="nil"/>
              <w:left w:val="single" w:color="auto" w:sz="4" w:space="0"/>
              <w:bottom w:val="single" w:color="000000"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安全区域边界</w:t>
            </w: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边界防护</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应保证跨越边界的访问和数据流通过边界设备提供的受控接口进行通信;</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应能够对非授权设备私自联到内部网络的行为进行检查或限制;</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 应能够对内部用户非授权联到外部网络的行为进行检查或限制;</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d) 应限制无线网络的使用,保证无线网络通过受控的边界设备接入内部网络。</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访问控制</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应在网络边界或区域之间根据访问控制策略设置访问控制规则，默认情况下除允许通信外受控接口拒绝所有通信;</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应删除多余或无效的访问控制规则，优化访问控制列表，并保证访问控制规则数量最小化;</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 应对源地址、目的地址、源端口、目的端口和协议等进行检查，以允许/拒绝数据包进出;</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d) 应能根据会话状态信息为进出数据流提供明确的允许/拒绝访问的能力;</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e) 应对进出网络的数据流实现基于应用协议和应用内容的访问控制。</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入侵防范</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应在关键网络节点处检测、防止或限制从外部发起的网络攻击行为;</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应在关键网络节点处检测、防止或限制从内部发起的网络攻击行为;</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 应采取技术措施对网络行为进行分析，实现对网络攻击特别是新型网络攻击行为的分析;</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d) 当检测到攻击行为时，记录攻击源IP、攻击类型、攻击目标、攻击时间，在发生严重入侵事件时应提供报警。</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恶意代码和垃圾邮件防范</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应在关键网络节点处对恶意代码进行检测和清除，并维护恶意代码防护机制的升级和更新;</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应在关键网络节点处对垃圾邮件进行检测和防护，并维护垃圾邮件防护机制的升级和更新。</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安全审计</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应在网络边界、重要网络节点进行安全审计，审计覆盖到每个用户，对重要的用户行为和重要安全事件进行审计;</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审计记录应包括事件的日期和时间、用户、事件类型、事件是否成功及其他与审计相关的信息;</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 应对审计记录进行保护，定期备份，避免受到未预期的删除、修改或覆盖等;</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d) 应能对远程访问的用户行为、访问互联网的用户行为等单独进行行为审计和数据分析。</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可信验证</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可基于可信根对边界设备的系统引导程序、系统程序、重要配置参数和边界防护应用程序等进行可信验证，并在应用程序的关键执行环节进行动态可信验证，在检测到其可信性受到破坏后进行报警，并将验证结果形成审计记录送至安全管理中心。</w:t>
            </w:r>
          </w:p>
        </w:tc>
      </w:tr>
      <w:tr>
        <w:tblPrEx>
          <w:tblCellMar>
            <w:top w:w="0" w:type="dxa"/>
            <w:left w:w="108" w:type="dxa"/>
            <w:bottom w:w="0" w:type="dxa"/>
            <w:right w:w="108" w:type="dxa"/>
          </w:tblCellMar>
        </w:tblPrEx>
        <w:trPr>
          <w:trHeight w:val="20" w:hRule="atLeast"/>
        </w:trPr>
        <w:tc>
          <w:tcPr>
            <w:tcW w:w="1242" w:type="dxa"/>
            <w:vMerge w:val="restart"/>
            <w:tcBorders>
              <w:top w:val="nil"/>
              <w:left w:val="single" w:color="auto" w:sz="4" w:space="0"/>
              <w:bottom w:val="single" w:color="000000"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安全计算环境</w:t>
            </w: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身份鉴别</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应对登录的用户进行身份标识和鉴别，身份标识具有唯一性，身份鉴别信息具有复杂度要求并定期更换;</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应具有登录失败处理功能，应配置并启用结束会话、限制非法登录次数和当登录连接超时自动退出等相关措施;</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 当进行远程管理时，应采取必要措施防止鉴别信息在网络传输过程中被窃听;</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d) 应采用口令、密码技术、生物技术等两种或两种以上组合的鉴别技术对用户进行身份鉴别，且其中一种鉴别技术至少应使用密码技术来实现。</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访问控制</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应对登录的用户分配账户和权限;</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应重命名或删除默认账户，修改默认账户的默认口令;</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 xml:space="preserve">c) 应及时删除或停用多余的、过期的账户，避免共享账户的存在; </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d) 应授予管理用户所需的最小权限，实现管理用户的权限分离;</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e) 应由授权主体配置访问控制策略，访间控制策略规定主体对客体的访问规则;</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f) 访问控制的粒度应达到主体为用户级或进程级，客体为文件、数据库表级;</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g) 应对重要主体和客体设置安全标记，并控制主体对有安全标记信息资源的访问。</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安全审计</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应启用安全审计功能，审计覆盖到每个用户，对重要的用户行为和重要安全事件进行审计;</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审计记录应包括事件的日期和时间、用户、事件类型、事件是否成功及其他与审计相关的信息;</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 应对审计记录进行保护，定期备份，避免受到未预期的删除、修改或覆盖等;</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d）应对审计进程进行保护，防止未经授权的中断。</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入侵防范</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应遵循最小安装的原则，仅安装需要的组件和应用程序;</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应关闭不需要的系统服务、默认共享和高危端口;</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 应通过设定终端接入方式或网络地址范围对通过网络进行管理的管理终端进行限制;</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d) 应提供数据有效性检验功能，保证通过人机接口输入或通过通信接口输入的内容符合系统设定要求;</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e) 应能发现可能存在的已知漏洞，并在经过充分测试评估后，及时修补漏洞;</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f) 应能够检测到对重要节点进行入侵的行为，并在发生严重入侵事件时提供报警。</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恶意代码防范</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应采用免受恶意代码攻击的技术措施或主动免疫可信验证机制及时识别入侵和病毒行为，并将其有效阻断。</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可信验证</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可基于可信根对计算设备的系统引导程序、系统程序、重要配置参数和应用程序等进行可信验证， 并在应用程序的关键执行环节进行动态可信验证，在检测到其可信性受到破坏后进行报警，并将验证结果形成审计记录送至安全管理中心。</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数据完整性</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应采用校验技术保证重要数据在传输过程中的完整性，包括但不限于鉴别数据、重要业务数据、重要审计数据、重要配置数据、重要视频数据和重要个人信息等;</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应采用校验技术或密码技术保证重要数据在存储过程中的完整性，包括但不限于鉴别数据、重要业务数据、重要审计数据、重要配置数据、重要视频数据和重要个人信息等。</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数据保密性</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a）应采用密码技术保证重要数据在传输过程中的保密性，包括但不限于鉴别数据、重要业务数据和重要个人信息等;</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b）应采用密码技术保证重要数据在存储过程中的保密性，包括但不限于鉴别数据、重要业务数据和重要个人信息等。</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数据备份恢复</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应提供重要数据的本地数据备份与恢复功能;</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应提供异地数据备份功能，利用通信网络将重要数据定时批量传送至备用场地;</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 应提供重要数据处理系统的热冗余，保证系统的高可用性。</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剩余信息保护</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a）应保证鉴别信息所在的存储空间被释放或重新分配前得到完全清除;</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b）应保证存有敏感数据的存储空间被释放或重新分配前得到完全清除。</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个人信息保护</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 xml:space="preserve">a) 应仅采集和保存业务必需的用户个人信息; </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应禁止未授权访问和非法使用用户个人信息。</w:t>
            </w:r>
          </w:p>
        </w:tc>
      </w:tr>
      <w:tr>
        <w:tblPrEx>
          <w:tblCellMar>
            <w:top w:w="0" w:type="dxa"/>
            <w:left w:w="108" w:type="dxa"/>
            <w:bottom w:w="0" w:type="dxa"/>
            <w:right w:w="108" w:type="dxa"/>
          </w:tblCellMar>
        </w:tblPrEx>
        <w:trPr>
          <w:trHeight w:val="20" w:hRule="atLeast"/>
        </w:trPr>
        <w:tc>
          <w:tcPr>
            <w:tcW w:w="1242" w:type="dxa"/>
            <w:vMerge w:val="restart"/>
            <w:tcBorders>
              <w:top w:val="nil"/>
              <w:left w:val="single" w:color="auto" w:sz="4" w:space="0"/>
              <w:bottom w:val="single" w:color="000000"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安全管理中心</w:t>
            </w: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系统管理</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 xml:space="preserve">a) 应对系统管理员进行身份鉴别，只允许其通过特定的命令或操作界面进行系统管理操作，并对这些操作进行审计; </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应通过系统管理员对系统的资源和运行进行配置、控制和管理，包括用户身份、系统资源配置、系统加载和启动、系统运行的异常处理、数据和设备的备份与恢复等。</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审计管理</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应对审计管理员进行身份鉴别，只允许其通过特定的命令或操作界面进行安全审计操作，并对这些操作进行审计;</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应通过审计管理员对审计记录进行分析，并根据分析结果进行处理，包括根据安全审计策略对审计记录进行存储、管理和查询等。</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安全管理</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a）应对安全管理员进行身份鉴别，只允许其通过特定的命令或操作界面进行安全管理操作，并对这些操作进行审计;</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应通过安全管理员对系统中的安全策略进行配置，包括安全参数的设置，主体、客体进行统一安全标记，对主体进行授权，配置可信验证策略等。</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集中管控</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a）应划分出特定的管理区域，对分布在网络中的安全设备或安全组件进行管控;</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应能够建立一条安全的信息传输路径，对网络中的安全设备或安全组件进行管理;</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c）应对网络链路、安全设备、网络设备和服务器等的运行状况进行集中监测;</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d）应对分散在各个设备上的审计数据进行收集汇总和集中分析，并保证审计记录的留存时间符合法律法规要求;</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e）应对安全策路、恶意代码、补丁升级等安全相关事项进行集中管理;</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f）应能对网络中发生的各类安全事件进行识别、报警和分析。</w:t>
            </w:r>
          </w:p>
        </w:tc>
      </w:tr>
      <w:tr>
        <w:tblPrEx>
          <w:tblCellMar>
            <w:top w:w="0" w:type="dxa"/>
            <w:left w:w="108" w:type="dxa"/>
            <w:bottom w:w="0" w:type="dxa"/>
            <w:right w:w="108" w:type="dxa"/>
          </w:tblCellMar>
        </w:tblPrEx>
        <w:trPr>
          <w:trHeight w:val="20" w:hRule="atLeast"/>
        </w:trPr>
        <w:tc>
          <w:tcPr>
            <w:tcW w:w="1242" w:type="dxa"/>
            <w:vMerge w:val="restart"/>
            <w:tcBorders>
              <w:top w:val="nil"/>
              <w:left w:val="single" w:color="auto" w:sz="4" w:space="0"/>
              <w:bottom w:val="single" w:color="000000"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安全管理制度</w:t>
            </w: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安全策略</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应制定网络安全工作的总体方针和安全策略，阐明机构安全工作的总体目标、范围、原则和安全框架等。</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管理制度</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应对安全管理活动中的主要管理内容建立安全管理制度;</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应对管理人员或操作人员执行的日常管理操作建立操作规程;</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 应形成由安全策略、管理制度、操作规程、记录表单等构成的全面的安全管理制度体系。</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制定和发布</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应指定或授权专门的部门或人员负责安全管理制度的制定;</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安全管理制度应通过正式、有效的方式发布，并进行版本控制。</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评审和修订</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应定期对安全管理制度的合理性和适用性进行论证和审定，对存在不足或需要改进的安全管理制度进行修订。</w:t>
            </w:r>
          </w:p>
        </w:tc>
      </w:tr>
      <w:tr>
        <w:tblPrEx>
          <w:tblCellMar>
            <w:top w:w="0" w:type="dxa"/>
            <w:left w:w="108" w:type="dxa"/>
            <w:bottom w:w="0" w:type="dxa"/>
            <w:right w:w="108" w:type="dxa"/>
          </w:tblCellMar>
        </w:tblPrEx>
        <w:trPr>
          <w:trHeight w:val="20" w:hRule="atLeast"/>
        </w:trPr>
        <w:tc>
          <w:tcPr>
            <w:tcW w:w="1242" w:type="dxa"/>
            <w:vMerge w:val="restart"/>
            <w:tcBorders>
              <w:top w:val="nil"/>
              <w:left w:val="single" w:color="auto" w:sz="4" w:space="0"/>
              <w:bottom w:val="single" w:color="000000"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安全管理机构</w:t>
            </w: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岗位设置</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a）应成立指导和管理网络安全工作的委员会或领导小组，其最高领导由单位主管领导担任或授权;</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b）应设立网络安全管理工作的职能部门，设立安全主管、安全管理各个方面的负责人岗位，并定义各负责人的职责;</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c）应设立系统管理员、审计管理员和安全管理员等岗位，并定义部门及各个工作岗位的职责。</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人员配备</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a）应配备一定数量的系统管理员、审计管理员和安全管理员等;</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应配备专职安全管理员，不可兼任。</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授权和审批</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a）应根据各个部门和岗位的职责明确授权审批事项、审批部门和批准人等;</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b）应针对系统变更、重要操作、物理访问和系统接入等事项建立审批程序，按照审批程序执行审批过程，对重要活动建立逐级审批制度;</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c）应定期审查审批事项，及时更新需授权和审批的项目、审批部门和审批人等信息。</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沟通和合作</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应加强各类管理人员、组织内部机构和网络安全管理部门之间的合作与沟通，定期召开协调会议，共同协作处理网络安全问题;</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应加强与网络安全职能部门、各类供应商、业界专家及安全组织的合作与沟通;</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 应建立外联单位联系列表，包括外联单位名称、合作内容、联系人和联系方式等信息。</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审核和检查</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应定期进行常规安全检查，检查内容包括系统日常运行、系统漏洞和数据备份等情况;</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应定期进行全面安全检查，检查内容包括现有安全技术措施的有效性、安全配置与安全策略的一致性、安全管理制度的执行情况等;</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 应制定安全检查表格实施安全检查，汇总安全检查数据，形成安全检查报告，并对安全检查结果进行通报。</w:t>
            </w:r>
          </w:p>
        </w:tc>
      </w:tr>
      <w:tr>
        <w:tblPrEx>
          <w:tblCellMar>
            <w:top w:w="0" w:type="dxa"/>
            <w:left w:w="108" w:type="dxa"/>
            <w:bottom w:w="0" w:type="dxa"/>
            <w:right w:w="108" w:type="dxa"/>
          </w:tblCellMar>
        </w:tblPrEx>
        <w:trPr>
          <w:trHeight w:val="20" w:hRule="atLeast"/>
        </w:trPr>
        <w:tc>
          <w:tcPr>
            <w:tcW w:w="1242" w:type="dxa"/>
            <w:vMerge w:val="restart"/>
            <w:tcBorders>
              <w:top w:val="nil"/>
              <w:left w:val="single" w:color="auto" w:sz="4" w:space="0"/>
              <w:bottom w:val="single" w:color="000000"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安全管理人员</w:t>
            </w: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人员录用</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应指定或授权专门的部门或人员负责人员录用;</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b）应对被录用人员的身份、安全背景、专业资格或资质等进行审查，对其所具有的技术技能进行考核;</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c）应与被录用人员签署保密协议，与关键岗位人员签署岗位责任协议。</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人员离岗</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a）应及时终止离岗人员的所有访问权限，取回各种身份证件、钥匙、徽章等以及机构提供的软硬件设备;</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应办理严格的调离手续，并承诺调离后的保密义务后方可离开。</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安全意识教育和培训</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a）应对各类人员进行安全意识教育和岗位技能培训，并告知相关的安全责任和惩戒措施;</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b）应针对不同岗位制定不同的培训计划，对安全基础知识、岗位操作规程等进行培训;</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c）应定期对不同岗位的人员进行技能考核。</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外部人员访问管理</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 xml:space="preserve">a) 应在外部人员物理访问受控区域前先提出书面申请，批准后由专人全程陪同，并登记备案; </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应在外部人员接入受控网络访问系统前先提出书面申请，批准后由专人开设账户、分配权限，并登记备案;</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 外部人员离场后应及时清除其所有的访问权限;</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d）获得系统访问授权的外部人员应签署保密协议，不得进行非授权操作，不得复制和泄露任何敏感信息。</w:t>
            </w:r>
          </w:p>
        </w:tc>
      </w:tr>
      <w:tr>
        <w:tblPrEx>
          <w:tblCellMar>
            <w:top w:w="0" w:type="dxa"/>
            <w:left w:w="108" w:type="dxa"/>
            <w:bottom w:w="0" w:type="dxa"/>
            <w:right w:w="108" w:type="dxa"/>
          </w:tblCellMar>
        </w:tblPrEx>
        <w:trPr>
          <w:trHeight w:val="20" w:hRule="atLeast"/>
        </w:trPr>
        <w:tc>
          <w:tcPr>
            <w:tcW w:w="1242" w:type="dxa"/>
            <w:vMerge w:val="restart"/>
            <w:tcBorders>
              <w:top w:val="nil"/>
              <w:left w:val="single" w:color="auto" w:sz="4" w:space="0"/>
              <w:bottom w:val="single" w:color="000000"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安全建设管理</w:t>
            </w: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定级和备案</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应以书面的形式说明保护对象的安全保护等级及确定等级的方法和理由;</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 xml:space="preserve">b) 应组织相关部门和有关安全技术专家对定级结果的合理性和正确性进行论证和审定; </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 应保证定级结果经过相关部门的批准;</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d) 应将备案材料报主管部门和相应公安机关备案。</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安全方案设计</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a）应根据安全保护等级选择基本安全措施，依据风险分析的结果补充和调整安全措施;</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b）应根据保护对象的安全保护等级及与其他级别保护对象的关系进行安全整体规划和安全方案设计，设计内容应包含密码技术相关内容，并形成配套文件;</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c）应组织相关部门和有关安全专家对安全整体规划及其配套文件的合理性和正确性进行论证和审定，经过批准后才能正式实施。</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产品采购和使用</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应确保网络安全产品采购和使用符合国家的有关规定;</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应确保密码产品与服务的采购和使用符合国家密码管理主管部门的要求;</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c）应预先对产品进行选型测试，确定产品的候选范围，并定期审定和更新候选产品名单。</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自行软件开发</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a）应将开发环境与实际运行环境物理分开，测试数据和测试结果受到控制;</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应制定软件开发管理制度，明确说明开发过程的控制方法和人员行为准则;</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c）应制定代码编写安全规范，要求开发人员参照规范编写代码;</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d) 应具备软件设计的相关文档和使用指南，并对文档使用进行控制;</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e）应保证在软件开发过程中对安全性进行测试，在软件安装前对可能存在的恶意代码进行检测;</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f) 应对程序资源库的修改、更新、发布进行授权和批准，并严格进行版本控制;</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g）应保证开发人员为专职人员、开发人员的开发活动受到控制、监视和审查。</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外包软件开发</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 xml:space="preserve">a) 应在软件交付前检测其中可能存在的恶意代码; </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应保证开发单位提供软件设计文档和使用指南;</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c）应保证开发单位提供软件源代码，并审查软件中可能存在的后门和隐蔽信道。</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工程实施</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应指定或授权专门的部门或人员负责工程实施过程的管理;</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应制定安全工程实施方案控制工程实施过程;</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c）应通过第三方工程监理控制项目的实施过程。</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测试验收</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 xml:space="preserve">a) 应制订测试验收方案，并依据测试验收方案实施测试验收，形成测试验收报告; </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b）应进行上线前的安全性测试，并出具安全测试报告，安全测试报告应包含密码应用安全性测试相关内容。</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系统交付</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 xml:space="preserve">a) 应制定交付清单，并根据交付清单对所交接的设备、软件和文档等进行清点; </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应对负责运行维护的技术人员进行相应的技能培训;</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 应提供建设过程文档和运行维护文档。</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等级测评</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应定期进行等级测评，发现不符合相应等级保护标准要求的及时整改;</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应在发生重大变更或级别发生变化时进行等级测评;</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 应确保测评机构的选择符合国家有关规定。</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服务供应商选择</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应确保服务供应商的选择符合国家的有关规定;</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应与选定的服务供应商签订相关协议，明确整个服务供应链各方需履行的网络安全相关义务;</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c）应定期监督、评审和审核服务供应商提供的服务，并对其变更服务内容加以控制。</w:t>
            </w:r>
          </w:p>
        </w:tc>
      </w:tr>
      <w:tr>
        <w:tblPrEx>
          <w:tblCellMar>
            <w:top w:w="0" w:type="dxa"/>
            <w:left w:w="108" w:type="dxa"/>
            <w:bottom w:w="0" w:type="dxa"/>
            <w:right w:w="108" w:type="dxa"/>
          </w:tblCellMar>
        </w:tblPrEx>
        <w:trPr>
          <w:trHeight w:val="20" w:hRule="atLeast"/>
        </w:trPr>
        <w:tc>
          <w:tcPr>
            <w:tcW w:w="1242" w:type="dxa"/>
            <w:vMerge w:val="restart"/>
            <w:tcBorders>
              <w:top w:val="nil"/>
              <w:left w:val="single" w:color="auto" w:sz="4" w:space="0"/>
              <w:bottom w:val="single" w:color="000000"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安全运维管理</w:t>
            </w: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环境管理</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应指定专门的部门或人员负责机房安全，对机房出入进行管理，定期对机房供配电、空调、温湿度控制、消防等设施进行维护管理;</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b）应建立机房安全管理制度，对有关物理访问、物品带进出和环境安全等方面的管理作出规定;</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 应不在重要区域接待来访人员，不随意放置含有敏感信息的纸档文件和移动介质等。</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资产管理</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应编制并保存与保护对象相关的资产清单，包括资产责任部门、重要程度和所处位置等内容;</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b）应根据资产的重要程度对资产进行标识管理，根据资产的价值选择相应的管理措施;</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c）应对信息分类与标识方法作出规定，并对信息的使用、传输和存储等进行规范化管理。</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介质管理</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应将介质存放在安全的环境中，对各类介质进行控制和保护，实行存储环境专人管理，并根据存档介质的目录清单定期盘点;</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应对介质在物理传输过程中的人员选择、打包、交付等情况进行控制，并对介质的归档和查询等进行登记记录。</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设备维护管理</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应对各种设备(包括备份和冗余设备)、线路等指定专门的部门或人员定期进行维护管理;</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应对配套设施、软硬件维护管理做出规定，包括明确维护人员的责任、维修和服务的审批、维修过程的监督控制等;</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c）信息处理设备应经过审批才能带离机房或办公地点，含有存储介质的设备带出工作环境时其中重要数据应加密;</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d）含有存储介质的设备在报废或重用前，应进行完全清除或被安全覆盖，保证该设备上的敏感数据和授权软件无法被恢复重用。</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漏洞和风险管理</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应采取必要的措施识别安全漏洞和隐患，对发现的安全漏洞和隐患及时进行修补或评估可能的影响后进行修补;</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b）应定期开展安全测评，形成安全测评报告，采取措施应对发现的安全问题。</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网络和系统安全管理</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应划分不同的管理员角色进行网络和系统的运维管理，明确各个角色的责任和权限;</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 应指定专门的部门或人员进行账户管理，对申请账户、建立账户、删除账户等进行控制;</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c) 应建立网络和系统安全管理制度，对安全策略、账户管理、配置管理、日志管理、日常操作、升级与打补丁、口令更新周期等方面作出规定;</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d) 应制定重要设备的配置和操作手册，依据手册对设备进行安全配置和优化配置等;</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e) 应详细记录运维操作日志，包括日常巡检工作、运行维护记录、参数的设置和修改等内容;</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f）应指定专门的部门或人员对日志、监测和报警数据等进行分析、统计，及时发现可疑行为;</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g）应严格控制变更性运维，经过审批后才可改变连接、安装系统组件或调整配置参数，操作过程中应保留不可更改的审计日志，操作结束后应同步更新配置信息库;</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h）应严格控制运维工具的使用，经过审批后才可接入进行操作，操作过程中应保留不可更改的审计日志，操作结束后应删除工具中的敏感数据;</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i）应严格控制远程运维的开通，经过审批后才可开通远程运维接口或通道，操作过程中应保留不可更改的审计日志，操作结束后立即关闭接口或通道;</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j）应保证所有与外部的连接均得到授权和批准，应定期检查违反规定无线上网及其他违反网络安全策略的行为。</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恶意代码防范管理</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olor w:val="000000"/>
                <w:sz w:val="24"/>
                <w:szCs w:val="24"/>
                <w:lang w:val="en-US" w:eastAsia="zh-CN"/>
              </w:rPr>
            </w:pPr>
            <w:r>
              <w:rPr>
                <w:rFonts w:hint="eastAsia" w:ascii="仿宋" w:hAnsi="仿宋" w:eastAsia="仿宋"/>
                <w:color w:val="000000"/>
                <w:sz w:val="24"/>
                <w:szCs w:val="24"/>
                <w:lang w:val="en-US" w:eastAsia="zh-CN"/>
              </w:rPr>
              <w:t>a) 应提高所有用户的防恶意代码意识，对外来计算机或存储设备接入系统前进行恶意代码检查等;</w:t>
            </w:r>
            <w:r>
              <w:rPr>
                <w:rFonts w:hint="eastAsia" w:ascii="仿宋" w:hAnsi="仿宋" w:eastAsia="仿宋"/>
                <w:color w:val="000000"/>
                <w:sz w:val="24"/>
                <w:szCs w:val="24"/>
                <w:lang w:val="en-US" w:eastAsia="zh-CN"/>
              </w:rPr>
              <w:br w:type="textWrapping"/>
            </w:r>
            <w:r>
              <w:rPr>
                <w:rFonts w:hint="eastAsia" w:ascii="仿宋" w:hAnsi="仿宋" w:eastAsia="仿宋"/>
                <w:color w:val="000000"/>
                <w:sz w:val="24"/>
                <w:szCs w:val="24"/>
                <w:lang w:val="en-US" w:eastAsia="zh-CN"/>
              </w:rPr>
              <w:t>b）应定期验证防范恶意代码攻击的技术措施的有效性。</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配置管理</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a) 应记录和保存基本配置信息，包括网络拓扑结构、各个设备安装的软件组件、软件组件的版本和 补丁信息、各个设备或软件组件的配置参数等;</w:t>
            </w:r>
            <w:r>
              <w:rPr>
                <w:rFonts w:hint="eastAsia" w:ascii="仿宋" w:hAnsi="仿宋" w:eastAsia="仿宋" w:cs="仿宋"/>
                <w:kern w:val="2"/>
                <w:sz w:val="24"/>
                <w:szCs w:val="24"/>
                <w:lang w:val="en-US" w:eastAsia="zh-CN" w:bidi="ar-SA"/>
              </w:rPr>
              <w:br w:type="textWrapping"/>
            </w:r>
            <w:r>
              <w:rPr>
                <w:rFonts w:hint="eastAsia" w:ascii="仿宋" w:hAnsi="仿宋" w:eastAsia="仿宋" w:cs="仿宋"/>
                <w:kern w:val="2"/>
                <w:sz w:val="24"/>
                <w:szCs w:val="24"/>
                <w:lang w:val="en-US" w:eastAsia="zh-CN" w:bidi="ar-SA"/>
              </w:rPr>
              <w:t>b) 应将基本配置信息改变纳入变更范畴，实施对配置信息改变的控制，并及时更新基本配置信息库。</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密码管理</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a) 应遵循密码相关国家标准和行业标准;</w:t>
            </w:r>
            <w:r>
              <w:rPr>
                <w:rFonts w:hint="eastAsia" w:ascii="仿宋" w:hAnsi="仿宋" w:eastAsia="仿宋" w:cs="仿宋"/>
                <w:kern w:val="2"/>
                <w:sz w:val="24"/>
                <w:szCs w:val="24"/>
                <w:lang w:val="en-US" w:eastAsia="zh-CN" w:bidi="ar-SA"/>
              </w:rPr>
              <w:br w:type="textWrapping"/>
            </w:r>
            <w:r>
              <w:rPr>
                <w:rFonts w:hint="eastAsia" w:ascii="仿宋" w:hAnsi="仿宋" w:eastAsia="仿宋" w:cs="仿宋"/>
                <w:kern w:val="2"/>
                <w:sz w:val="24"/>
                <w:szCs w:val="24"/>
                <w:lang w:val="en-US" w:eastAsia="zh-CN" w:bidi="ar-SA"/>
              </w:rPr>
              <w:t>b) 应使用国家密码管理主管部门认证核准的密码技术和产品。</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变更管理</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a）应明确变更需求，变更前根据变更需求制定变更方案，变更方案经过评审、审批后方可实施;</w:t>
            </w:r>
            <w:r>
              <w:rPr>
                <w:rFonts w:hint="eastAsia" w:ascii="仿宋" w:hAnsi="仿宋" w:eastAsia="仿宋" w:cs="仿宋"/>
                <w:kern w:val="2"/>
                <w:sz w:val="24"/>
                <w:szCs w:val="24"/>
                <w:lang w:val="en-US" w:eastAsia="zh-CN" w:bidi="ar-SA"/>
              </w:rPr>
              <w:br w:type="textWrapping"/>
            </w:r>
            <w:r>
              <w:rPr>
                <w:rFonts w:hint="eastAsia" w:ascii="仿宋" w:hAnsi="仿宋" w:eastAsia="仿宋" w:cs="仿宋"/>
                <w:kern w:val="2"/>
                <w:sz w:val="24"/>
                <w:szCs w:val="24"/>
                <w:lang w:val="en-US" w:eastAsia="zh-CN" w:bidi="ar-SA"/>
              </w:rPr>
              <w:t>b) 应建立变更的申报和审批控制程序，依据程序控制所有的变更，记录变更实施过程;</w:t>
            </w:r>
            <w:r>
              <w:rPr>
                <w:rFonts w:hint="eastAsia" w:ascii="仿宋" w:hAnsi="仿宋" w:eastAsia="仿宋" w:cs="仿宋"/>
                <w:kern w:val="2"/>
                <w:sz w:val="24"/>
                <w:szCs w:val="24"/>
                <w:lang w:val="en-US" w:eastAsia="zh-CN" w:bidi="ar-SA"/>
              </w:rPr>
              <w:br w:type="textWrapping"/>
            </w:r>
            <w:r>
              <w:rPr>
                <w:rFonts w:hint="eastAsia" w:ascii="仿宋" w:hAnsi="仿宋" w:eastAsia="仿宋" w:cs="仿宋"/>
                <w:kern w:val="2"/>
                <w:sz w:val="24"/>
                <w:szCs w:val="24"/>
                <w:lang w:val="en-US" w:eastAsia="zh-CN" w:bidi="ar-SA"/>
              </w:rPr>
              <w:t>c）应建立中止变更并从失败变更中恢复的程序，明确过程控制方法和人员职责，必要时对恢复过程进行演练。</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备份与恢复管理</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a) 应识别需要定期备份的重要业务信息、系统数据及软件系统等;</w:t>
            </w:r>
            <w:r>
              <w:rPr>
                <w:rFonts w:hint="eastAsia" w:ascii="仿宋" w:hAnsi="仿宋" w:eastAsia="仿宋" w:cs="仿宋"/>
                <w:kern w:val="2"/>
                <w:sz w:val="24"/>
                <w:szCs w:val="24"/>
                <w:lang w:val="en-US" w:eastAsia="zh-CN" w:bidi="ar-SA"/>
              </w:rPr>
              <w:br w:type="textWrapping"/>
            </w:r>
            <w:r>
              <w:rPr>
                <w:rFonts w:hint="eastAsia" w:ascii="仿宋" w:hAnsi="仿宋" w:eastAsia="仿宋" w:cs="仿宋"/>
                <w:kern w:val="2"/>
                <w:sz w:val="24"/>
                <w:szCs w:val="24"/>
                <w:lang w:val="en-US" w:eastAsia="zh-CN" w:bidi="ar-SA"/>
              </w:rPr>
              <w:t>b) 应规定备份信息的备份方式、备份频度、存储介质、保存期等;</w:t>
            </w:r>
            <w:r>
              <w:rPr>
                <w:rFonts w:hint="eastAsia" w:ascii="仿宋" w:hAnsi="仿宋" w:eastAsia="仿宋" w:cs="仿宋"/>
                <w:kern w:val="2"/>
                <w:sz w:val="24"/>
                <w:szCs w:val="24"/>
                <w:lang w:val="en-US" w:eastAsia="zh-CN" w:bidi="ar-SA"/>
              </w:rPr>
              <w:br w:type="textWrapping"/>
            </w:r>
            <w:r>
              <w:rPr>
                <w:rFonts w:hint="eastAsia" w:ascii="仿宋" w:hAnsi="仿宋" w:eastAsia="仿宋" w:cs="仿宋"/>
                <w:kern w:val="2"/>
                <w:sz w:val="24"/>
                <w:szCs w:val="24"/>
                <w:lang w:val="en-US" w:eastAsia="zh-CN" w:bidi="ar-SA"/>
              </w:rPr>
              <w:t>c) 应根据数据的重要性和数据对系统运行的影响，制定数据的备份策略和恢复策略、备份程序和恢复程序等。</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安全事件处置</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a) 应及时向安全管理部门报告所发现的安全弱点和可疑事件;</w:t>
            </w:r>
            <w:r>
              <w:rPr>
                <w:rFonts w:hint="eastAsia" w:ascii="仿宋" w:hAnsi="仿宋" w:eastAsia="仿宋" w:cs="仿宋"/>
                <w:kern w:val="2"/>
                <w:sz w:val="24"/>
                <w:szCs w:val="24"/>
                <w:lang w:val="en-US" w:eastAsia="zh-CN" w:bidi="ar-SA"/>
              </w:rPr>
              <w:br w:type="textWrapping"/>
            </w:r>
            <w:r>
              <w:rPr>
                <w:rFonts w:hint="eastAsia" w:ascii="仿宋" w:hAnsi="仿宋" w:eastAsia="仿宋" w:cs="仿宋"/>
                <w:kern w:val="2"/>
                <w:sz w:val="24"/>
                <w:szCs w:val="24"/>
                <w:lang w:val="en-US" w:eastAsia="zh-CN" w:bidi="ar-SA"/>
              </w:rPr>
              <w:t>b) 应制定安全事件报告和处置管理制度，明确不同安全事件的报告、处置和响应流程，规定安全事件的现场处理、事件报告和后期恢复的管理职责等;</w:t>
            </w:r>
            <w:r>
              <w:rPr>
                <w:rFonts w:hint="eastAsia" w:ascii="仿宋" w:hAnsi="仿宋" w:eastAsia="仿宋" w:cs="仿宋"/>
                <w:kern w:val="2"/>
                <w:sz w:val="24"/>
                <w:szCs w:val="24"/>
                <w:lang w:val="en-US" w:eastAsia="zh-CN" w:bidi="ar-SA"/>
              </w:rPr>
              <w:br w:type="textWrapping"/>
            </w:r>
            <w:r>
              <w:rPr>
                <w:rFonts w:hint="eastAsia" w:ascii="仿宋" w:hAnsi="仿宋" w:eastAsia="仿宋" w:cs="仿宋"/>
                <w:kern w:val="2"/>
                <w:sz w:val="24"/>
                <w:szCs w:val="24"/>
                <w:lang w:val="en-US" w:eastAsia="zh-CN" w:bidi="ar-SA"/>
              </w:rPr>
              <w:t>c) 应在安全事件报告和响应处理过程中，分析和鉴定事件产生的原因，收集证据，记录处理过程，总结经验教训;</w:t>
            </w:r>
            <w:r>
              <w:rPr>
                <w:rFonts w:hint="eastAsia" w:ascii="仿宋" w:hAnsi="仿宋" w:eastAsia="仿宋" w:cs="仿宋"/>
                <w:kern w:val="2"/>
                <w:sz w:val="24"/>
                <w:szCs w:val="24"/>
                <w:lang w:val="en-US" w:eastAsia="zh-CN" w:bidi="ar-SA"/>
              </w:rPr>
              <w:br w:type="textWrapping"/>
            </w:r>
            <w:r>
              <w:rPr>
                <w:rFonts w:hint="eastAsia" w:ascii="仿宋" w:hAnsi="仿宋" w:eastAsia="仿宋" w:cs="仿宋"/>
                <w:kern w:val="2"/>
                <w:sz w:val="24"/>
                <w:szCs w:val="24"/>
                <w:lang w:val="en-US" w:eastAsia="zh-CN" w:bidi="ar-SA"/>
              </w:rPr>
              <w:t>d）对造成系统中断和造成信息泄漏的重大安全事件应采用不同的处理程序和报告程序。</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应急预案管理</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a）应规定统一的应急预案框架，包括启动预案的条件、应急组织构成、应急资源保障、事后教育和培训等内容;</w:t>
            </w:r>
            <w:r>
              <w:rPr>
                <w:rFonts w:hint="eastAsia" w:ascii="仿宋" w:hAnsi="仿宋" w:eastAsia="仿宋" w:cs="仿宋"/>
                <w:kern w:val="2"/>
                <w:sz w:val="24"/>
                <w:szCs w:val="24"/>
                <w:lang w:val="en-US" w:eastAsia="zh-CN" w:bidi="ar-SA"/>
              </w:rPr>
              <w:br w:type="textWrapping"/>
            </w:r>
            <w:r>
              <w:rPr>
                <w:rFonts w:hint="eastAsia" w:ascii="仿宋" w:hAnsi="仿宋" w:eastAsia="仿宋" w:cs="仿宋"/>
                <w:kern w:val="2"/>
                <w:sz w:val="24"/>
                <w:szCs w:val="24"/>
                <w:lang w:val="en-US" w:eastAsia="zh-CN" w:bidi="ar-SA"/>
              </w:rPr>
              <w:t>b) 应制定重要事件的应急预案，包括应急处理流程、系统恢复流程等内容;</w:t>
            </w:r>
            <w:r>
              <w:rPr>
                <w:rFonts w:hint="eastAsia" w:ascii="仿宋" w:hAnsi="仿宋" w:eastAsia="仿宋" w:cs="仿宋"/>
                <w:kern w:val="2"/>
                <w:sz w:val="24"/>
                <w:szCs w:val="24"/>
                <w:lang w:val="en-US" w:eastAsia="zh-CN" w:bidi="ar-SA"/>
              </w:rPr>
              <w:br w:type="textWrapping"/>
            </w:r>
            <w:r>
              <w:rPr>
                <w:rFonts w:hint="eastAsia" w:ascii="仿宋" w:hAnsi="仿宋" w:eastAsia="仿宋" w:cs="仿宋"/>
                <w:kern w:val="2"/>
                <w:sz w:val="24"/>
                <w:szCs w:val="24"/>
                <w:lang w:val="en-US" w:eastAsia="zh-CN" w:bidi="ar-SA"/>
              </w:rPr>
              <w:t>c）应定期对系统相关的人员进行应急预案培训，并进行应急预案的演练;</w:t>
            </w:r>
            <w:r>
              <w:rPr>
                <w:rFonts w:hint="eastAsia" w:ascii="仿宋" w:hAnsi="仿宋" w:eastAsia="仿宋" w:cs="仿宋"/>
                <w:kern w:val="2"/>
                <w:sz w:val="24"/>
                <w:szCs w:val="24"/>
                <w:lang w:val="en-US" w:eastAsia="zh-CN" w:bidi="ar-SA"/>
              </w:rPr>
              <w:br w:type="textWrapping"/>
            </w:r>
            <w:r>
              <w:rPr>
                <w:rFonts w:hint="eastAsia" w:ascii="仿宋" w:hAnsi="仿宋" w:eastAsia="仿宋" w:cs="仿宋"/>
                <w:kern w:val="2"/>
                <w:sz w:val="24"/>
                <w:szCs w:val="24"/>
                <w:lang w:val="en-US" w:eastAsia="zh-CN" w:bidi="ar-SA"/>
              </w:rPr>
              <w:t>d）应定期对原有的应急预案重新评估，修订完善。</w:t>
            </w:r>
          </w:p>
        </w:tc>
      </w:tr>
      <w:tr>
        <w:tblPrEx>
          <w:tblCellMar>
            <w:top w:w="0" w:type="dxa"/>
            <w:left w:w="108" w:type="dxa"/>
            <w:bottom w:w="0" w:type="dxa"/>
            <w:right w:w="108" w:type="dxa"/>
          </w:tblCellMar>
        </w:tblPrEx>
        <w:trPr>
          <w:trHeight w:val="20" w:hRule="atLeast"/>
        </w:trPr>
        <w:tc>
          <w:tcPr>
            <w:tcW w:w="1242" w:type="dxa"/>
            <w:vMerge w:val="continue"/>
            <w:tcBorders>
              <w:top w:val="nil"/>
              <w:left w:val="single" w:color="auto" w:sz="4" w:space="0"/>
              <w:bottom w:val="single" w:color="000000"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olor w:val="000000"/>
                <w:sz w:val="24"/>
                <w:szCs w:val="24"/>
                <w:lang w:val="en-US" w:eastAsia="zh-CN"/>
              </w:rPr>
            </w:pPr>
          </w:p>
        </w:tc>
        <w:tc>
          <w:tcPr>
            <w:tcW w:w="1701" w:type="dxa"/>
            <w:tcBorders>
              <w:top w:val="nil"/>
              <w:left w:val="nil"/>
              <w:bottom w:val="single" w:color="auto" w:sz="4" w:space="0"/>
              <w:right w:val="single" w:color="auto" w:sz="4" w:space="0"/>
            </w:tcBorders>
            <w:shd w:val="clear" w:color="auto" w:fill="auto"/>
            <w:noWrap/>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外包运维管理</w:t>
            </w:r>
          </w:p>
        </w:tc>
        <w:tc>
          <w:tcPr>
            <w:tcW w:w="5579" w:type="dxa"/>
            <w:tcBorders>
              <w:top w:val="nil"/>
              <w:left w:val="nil"/>
              <w:bottom w:val="single" w:color="auto" w:sz="4" w:space="0"/>
              <w:right w:val="single" w:color="auto" w:sz="4" w:space="0"/>
            </w:tcBorders>
            <w:shd w:val="clear" w:color="auto" w:fill="auto"/>
            <w:vAlign w:val="center"/>
          </w:tcPr>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s="仿宋"/>
                <w:kern w:val="2"/>
                <w:sz w:val="24"/>
                <w:szCs w:val="24"/>
                <w:lang w:val="en-US" w:eastAsia="zh-CN" w:bidi="ar-SA"/>
              </w:rPr>
            </w:pPr>
            <w:r>
              <w:rPr>
                <w:rFonts w:hint="eastAsia" w:ascii="仿宋" w:hAnsi="仿宋" w:eastAsia="仿宋" w:cs="仿宋"/>
                <w:kern w:val="2"/>
                <w:sz w:val="24"/>
                <w:szCs w:val="24"/>
                <w:lang w:val="en-US" w:eastAsia="zh-CN" w:bidi="ar-SA"/>
              </w:rPr>
              <w:t>a) 应确保外包运维服务商的选择符合国家的有关规定;</w:t>
            </w:r>
            <w:r>
              <w:rPr>
                <w:rFonts w:hint="eastAsia" w:ascii="仿宋" w:hAnsi="仿宋" w:eastAsia="仿宋" w:cs="仿宋"/>
                <w:kern w:val="2"/>
                <w:sz w:val="24"/>
                <w:szCs w:val="24"/>
                <w:lang w:val="en-US" w:eastAsia="zh-CN" w:bidi="ar-SA"/>
              </w:rPr>
              <w:br w:type="textWrapping"/>
            </w:r>
            <w:r>
              <w:rPr>
                <w:rFonts w:hint="eastAsia" w:ascii="仿宋" w:hAnsi="仿宋" w:eastAsia="仿宋" w:cs="仿宋"/>
                <w:kern w:val="2"/>
                <w:sz w:val="24"/>
                <w:szCs w:val="24"/>
                <w:lang w:val="en-US" w:eastAsia="zh-CN" w:bidi="ar-SA"/>
              </w:rPr>
              <w:t>b) 应与选定的外包运维服务商签订相关的协议，明确约定外包运维的范围、工作内容;</w:t>
            </w:r>
            <w:r>
              <w:rPr>
                <w:rFonts w:hint="eastAsia" w:ascii="仿宋" w:hAnsi="仿宋" w:eastAsia="仿宋" w:cs="仿宋"/>
                <w:kern w:val="2"/>
                <w:sz w:val="24"/>
                <w:szCs w:val="24"/>
                <w:lang w:val="en-US" w:eastAsia="zh-CN" w:bidi="ar-SA"/>
              </w:rPr>
              <w:br w:type="textWrapping"/>
            </w:r>
            <w:r>
              <w:rPr>
                <w:rFonts w:hint="eastAsia" w:ascii="仿宋" w:hAnsi="仿宋" w:eastAsia="仿宋" w:cs="仿宋"/>
                <w:kern w:val="2"/>
                <w:sz w:val="24"/>
                <w:szCs w:val="24"/>
                <w:lang w:val="en-US" w:eastAsia="zh-CN" w:bidi="ar-SA"/>
              </w:rPr>
              <w:t>c）应保证选择的外包运维服务商在技术和管理方面均应具有按照等级保护要求开展安全运维工作的能力，并将能力要求在签订的协议中明确;</w:t>
            </w:r>
            <w:r>
              <w:rPr>
                <w:rFonts w:hint="eastAsia" w:ascii="仿宋" w:hAnsi="仿宋" w:eastAsia="仿宋" w:cs="仿宋"/>
                <w:kern w:val="2"/>
                <w:sz w:val="24"/>
                <w:szCs w:val="24"/>
                <w:lang w:val="en-US" w:eastAsia="zh-CN" w:bidi="ar-SA"/>
              </w:rPr>
              <w:br w:type="textWrapping"/>
            </w:r>
            <w:r>
              <w:rPr>
                <w:rFonts w:hint="eastAsia" w:ascii="仿宋" w:hAnsi="仿宋" w:eastAsia="仿宋" w:cs="仿宋"/>
                <w:kern w:val="2"/>
                <w:sz w:val="24"/>
                <w:szCs w:val="24"/>
                <w:lang w:val="en-US" w:eastAsia="zh-CN" w:bidi="ar-SA"/>
              </w:rPr>
              <w:t>d) 应在与外包运维服务商签订的协议中明确所有相关的安全要求，如可能涉及对敏感信息的访问、处理、存储要求，对IT基础设施中断服务的应急保障要求等。</w:t>
            </w:r>
          </w:p>
        </w:tc>
      </w:tr>
    </w:tbl>
    <w:p>
      <w:pPr>
        <w:pStyle w:val="5"/>
        <w:keepNext w:val="0"/>
        <w:keepLines w:val="0"/>
        <w:pageBreakBefore w:val="0"/>
        <w:kinsoku/>
        <w:wordWrap/>
        <w:overflowPunct/>
        <w:topLinePunct w:val="0"/>
        <w:autoSpaceDE/>
        <w:autoSpaceDN/>
        <w:bidi w:val="0"/>
        <w:adjustRightInd/>
        <w:snapToGrid/>
        <w:spacing w:line="360" w:lineRule="auto"/>
        <w:ind w:firstLine="282" w:firstLineChars="100"/>
        <w:textAlignment w:val="auto"/>
        <w:rPr>
          <w:rFonts w:ascii="仿宋" w:hAnsi="仿宋" w:eastAsia="仿宋" w:cs="仿宋"/>
          <w:b/>
          <w:spacing w:val="1"/>
          <w:sz w:val="28"/>
        </w:rPr>
      </w:pPr>
      <w:r>
        <w:rPr>
          <w:rFonts w:hint="eastAsia" w:ascii="仿宋" w:hAnsi="仿宋" w:eastAsia="仿宋" w:cs="仿宋"/>
          <w:spacing w:val="1"/>
          <w:sz w:val="28"/>
        </w:rPr>
        <w:t>▲</w:t>
      </w:r>
      <w:r>
        <w:rPr>
          <w:rFonts w:hint="eastAsia" w:ascii="仿宋" w:hAnsi="仿宋" w:eastAsia="仿宋" w:cs="仿宋"/>
          <w:b/>
          <w:spacing w:val="1"/>
          <w:sz w:val="28"/>
        </w:rPr>
        <w:t>5.</w:t>
      </w:r>
      <w:r>
        <w:rPr>
          <w:rFonts w:hint="eastAsia" w:ascii="仿宋" w:hAnsi="仿宋" w:eastAsia="仿宋" w:cs="仿宋"/>
          <w:b/>
          <w:spacing w:val="1"/>
          <w:sz w:val="28"/>
          <w:lang w:val="en-US" w:eastAsia="zh-CN"/>
        </w:rPr>
        <w:t>3</w:t>
      </w:r>
      <w:r>
        <w:rPr>
          <w:rFonts w:hint="eastAsia" w:ascii="仿宋" w:hAnsi="仿宋" w:eastAsia="仿宋" w:cs="仿宋"/>
          <w:b/>
          <w:spacing w:val="1"/>
          <w:sz w:val="28"/>
        </w:rPr>
        <w:t xml:space="preserve"> 商务要求</w:t>
      </w:r>
    </w:p>
    <w:p>
      <w:pPr>
        <w:pStyle w:val="5"/>
        <w:spacing w:line="360" w:lineRule="auto"/>
        <w:ind w:firstLine="566" w:firstLineChars="200"/>
        <w:rPr>
          <w:rFonts w:ascii="仿宋" w:hAnsi="仿宋" w:eastAsia="仿宋" w:cs="仿宋"/>
          <w:b/>
          <w:spacing w:val="1"/>
          <w:sz w:val="28"/>
        </w:rPr>
      </w:pPr>
      <w:r>
        <w:rPr>
          <w:rFonts w:ascii="仿宋" w:hAnsi="仿宋" w:eastAsia="仿宋" w:cs="仿宋"/>
          <w:b/>
          <w:spacing w:val="1"/>
          <w:sz w:val="28"/>
        </w:rPr>
        <w:t>5.</w:t>
      </w:r>
      <w:r>
        <w:rPr>
          <w:rFonts w:hint="eastAsia" w:ascii="仿宋" w:hAnsi="仿宋" w:eastAsia="仿宋" w:cs="仿宋"/>
          <w:b/>
          <w:spacing w:val="1"/>
          <w:sz w:val="28"/>
          <w:lang w:val="en-US" w:eastAsia="zh-CN"/>
        </w:rPr>
        <w:t>3</w:t>
      </w:r>
      <w:r>
        <w:rPr>
          <w:rFonts w:ascii="仿宋" w:hAnsi="仿宋" w:eastAsia="仿宋" w:cs="仿宋"/>
          <w:b/>
          <w:spacing w:val="1"/>
          <w:sz w:val="28"/>
        </w:rPr>
        <w:t>.</w:t>
      </w:r>
      <w:r>
        <w:rPr>
          <w:rFonts w:hint="eastAsia" w:ascii="仿宋" w:hAnsi="仿宋" w:eastAsia="仿宋" w:cs="仿宋"/>
          <w:b/>
          <w:spacing w:val="1"/>
          <w:sz w:val="28"/>
        </w:rPr>
        <w:t>1</w:t>
      </w:r>
      <w:r>
        <w:rPr>
          <w:rFonts w:hint="eastAsia" w:ascii="仿宋" w:hAnsi="仿宋" w:eastAsia="仿宋" w:cs="仿宋"/>
          <w:b/>
          <w:spacing w:val="1"/>
          <w:sz w:val="28"/>
          <w:lang w:val="en-US" w:eastAsia="zh-CN"/>
        </w:rPr>
        <w:t>服务</w:t>
      </w:r>
      <w:r>
        <w:rPr>
          <w:rFonts w:hint="eastAsia" w:ascii="仿宋" w:hAnsi="仿宋" w:eastAsia="仿宋" w:cs="仿宋"/>
          <w:b/>
          <w:spacing w:val="1"/>
          <w:sz w:val="28"/>
        </w:rPr>
        <w:t>期及地点：</w:t>
      </w:r>
    </w:p>
    <w:p>
      <w:pPr>
        <w:pStyle w:val="24"/>
        <w:spacing w:line="360" w:lineRule="auto"/>
        <w:ind w:firstLine="566" w:firstLineChars="200"/>
        <w:jc w:val="left"/>
        <w:rPr>
          <w:rFonts w:hint="eastAsia" w:ascii="仿宋" w:hAnsi="仿宋" w:eastAsia="仿宋" w:cs="仿宋"/>
          <w:spacing w:val="1"/>
          <w:kern w:val="2"/>
          <w:sz w:val="28"/>
          <w:szCs w:val="24"/>
          <w:lang w:val="en-US" w:eastAsia="zh-CN" w:bidi="ar-SA"/>
        </w:rPr>
      </w:pPr>
      <w:r>
        <w:rPr>
          <w:rFonts w:hint="eastAsia" w:ascii="仿宋" w:hAnsi="仿宋" w:eastAsia="仿宋" w:cs="仿宋"/>
          <w:b/>
          <w:spacing w:val="1"/>
          <w:sz w:val="28"/>
        </w:rPr>
        <w:t>5.</w:t>
      </w:r>
      <w:r>
        <w:rPr>
          <w:rFonts w:hint="eastAsia" w:ascii="仿宋" w:hAnsi="仿宋" w:eastAsia="仿宋" w:cs="仿宋"/>
          <w:b/>
          <w:spacing w:val="1"/>
          <w:sz w:val="28"/>
          <w:lang w:val="en-US" w:eastAsia="zh-CN"/>
        </w:rPr>
        <w:t>3</w:t>
      </w:r>
      <w:r>
        <w:rPr>
          <w:rFonts w:hint="eastAsia" w:ascii="仿宋" w:hAnsi="仿宋" w:eastAsia="仿宋" w:cs="仿宋"/>
          <w:b/>
          <w:spacing w:val="1"/>
          <w:sz w:val="28"/>
        </w:rPr>
        <w:t>.</w:t>
      </w:r>
      <w:r>
        <w:rPr>
          <w:rFonts w:ascii="仿宋" w:hAnsi="仿宋" w:eastAsia="仿宋" w:cs="仿宋"/>
          <w:b/>
          <w:spacing w:val="1"/>
          <w:sz w:val="28"/>
        </w:rPr>
        <w:t xml:space="preserve">1.1 </w:t>
      </w:r>
      <w:r>
        <w:rPr>
          <w:rFonts w:hint="eastAsia" w:ascii="仿宋" w:hAnsi="仿宋" w:eastAsia="仿宋" w:cs="仿宋"/>
          <w:b/>
          <w:spacing w:val="1"/>
          <w:sz w:val="28"/>
          <w:lang w:val="en-US" w:eastAsia="zh-CN"/>
        </w:rPr>
        <w:t>服务期限</w:t>
      </w:r>
      <w:r>
        <w:rPr>
          <w:rFonts w:hint="eastAsia" w:ascii="仿宋" w:hAnsi="仿宋" w:eastAsia="仿宋" w:cs="仿宋"/>
          <w:b/>
          <w:spacing w:val="1"/>
          <w:sz w:val="28"/>
        </w:rPr>
        <w:t>：</w:t>
      </w:r>
      <w:r>
        <w:rPr>
          <w:rFonts w:hint="eastAsia" w:ascii="仿宋" w:hAnsi="仿宋" w:eastAsia="仿宋" w:cs="仿宋"/>
          <w:spacing w:val="1"/>
          <w:kern w:val="2"/>
          <w:sz w:val="28"/>
          <w:szCs w:val="24"/>
          <w:lang w:val="en-US" w:eastAsia="zh-CN" w:bidi="ar-SA"/>
        </w:rPr>
        <w:t>合同签订后一周内进场开始测评工作，本项目须于2022年12月31日前完成。</w:t>
      </w:r>
    </w:p>
    <w:p>
      <w:pPr>
        <w:pStyle w:val="6"/>
        <w:spacing w:line="360" w:lineRule="auto"/>
        <w:ind w:firstLine="566" w:firstLineChars="200"/>
        <w:rPr>
          <w:rFonts w:ascii="仿宋" w:hAnsi="仿宋" w:eastAsia="仿宋" w:cs="仿宋"/>
          <w:spacing w:val="1"/>
          <w:sz w:val="28"/>
        </w:rPr>
      </w:pPr>
      <w:r>
        <w:rPr>
          <w:rFonts w:ascii="仿宋" w:hAnsi="仿宋" w:eastAsia="仿宋" w:cs="仿宋"/>
          <w:b/>
          <w:spacing w:val="1"/>
          <w:sz w:val="28"/>
        </w:rPr>
        <w:t>5.</w:t>
      </w:r>
      <w:r>
        <w:rPr>
          <w:rFonts w:hint="eastAsia" w:ascii="仿宋" w:hAnsi="仿宋" w:eastAsia="仿宋" w:cs="仿宋"/>
          <w:b/>
          <w:spacing w:val="1"/>
          <w:sz w:val="28"/>
          <w:lang w:val="en-US" w:eastAsia="zh-CN"/>
        </w:rPr>
        <w:t>3</w:t>
      </w:r>
      <w:r>
        <w:rPr>
          <w:rFonts w:ascii="仿宋" w:hAnsi="仿宋" w:eastAsia="仿宋" w:cs="仿宋"/>
          <w:b/>
          <w:spacing w:val="1"/>
          <w:sz w:val="28"/>
        </w:rPr>
        <w:t xml:space="preserve">.1.2 </w:t>
      </w:r>
      <w:r>
        <w:rPr>
          <w:rFonts w:hint="eastAsia" w:ascii="仿宋" w:hAnsi="仿宋" w:eastAsia="仿宋" w:cs="仿宋"/>
          <w:b/>
          <w:spacing w:val="1"/>
          <w:sz w:val="28"/>
          <w:lang w:val="en-US" w:eastAsia="zh-CN"/>
        </w:rPr>
        <w:t>服务</w:t>
      </w:r>
      <w:r>
        <w:rPr>
          <w:rFonts w:hint="eastAsia" w:ascii="仿宋" w:hAnsi="仿宋" w:eastAsia="仿宋" w:cs="仿宋"/>
          <w:b/>
          <w:spacing w:val="1"/>
          <w:sz w:val="28"/>
        </w:rPr>
        <w:t>地点</w:t>
      </w:r>
      <w:r>
        <w:rPr>
          <w:rFonts w:hint="eastAsia" w:ascii="仿宋" w:hAnsi="仿宋" w:eastAsia="仿宋" w:cs="仿宋"/>
          <w:spacing w:val="1"/>
          <w:sz w:val="28"/>
        </w:rPr>
        <w:t>：采购人指定地点。</w:t>
      </w:r>
    </w:p>
    <w:p>
      <w:pPr>
        <w:pStyle w:val="5"/>
        <w:spacing w:line="360" w:lineRule="auto"/>
        <w:ind w:firstLine="566" w:firstLineChars="200"/>
        <w:rPr>
          <w:rFonts w:hint="default" w:ascii="仿宋" w:hAnsi="仿宋" w:eastAsia="仿宋" w:cs="仿宋"/>
          <w:spacing w:val="1"/>
          <w:sz w:val="28"/>
          <w:highlight w:val="none"/>
          <w:lang w:val="en-US" w:eastAsia="zh-CN"/>
        </w:rPr>
      </w:pPr>
      <w:r>
        <w:rPr>
          <w:rFonts w:ascii="仿宋" w:hAnsi="仿宋" w:eastAsia="仿宋" w:cs="仿宋"/>
          <w:b/>
          <w:spacing w:val="1"/>
          <w:sz w:val="28"/>
        </w:rPr>
        <w:t>5.</w:t>
      </w:r>
      <w:r>
        <w:rPr>
          <w:rFonts w:hint="eastAsia" w:ascii="仿宋" w:hAnsi="仿宋" w:eastAsia="仿宋" w:cs="仿宋"/>
          <w:b/>
          <w:spacing w:val="1"/>
          <w:sz w:val="28"/>
          <w:lang w:val="en-US" w:eastAsia="zh-CN"/>
        </w:rPr>
        <w:t>3</w:t>
      </w:r>
      <w:r>
        <w:rPr>
          <w:rFonts w:ascii="仿宋" w:hAnsi="仿宋" w:eastAsia="仿宋" w:cs="仿宋"/>
          <w:b/>
          <w:spacing w:val="1"/>
          <w:sz w:val="28"/>
        </w:rPr>
        <w:t>.2.</w:t>
      </w:r>
      <w:r>
        <w:rPr>
          <w:rFonts w:hint="eastAsia" w:ascii="仿宋" w:hAnsi="仿宋" w:eastAsia="仿宋" w:cs="仿宋"/>
          <w:b/>
          <w:spacing w:val="1"/>
          <w:sz w:val="28"/>
        </w:rPr>
        <w:t>付款方式</w:t>
      </w:r>
      <w:r>
        <w:rPr>
          <w:rFonts w:hint="eastAsia" w:ascii="仿宋" w:hAnsi="仿宋" w:eastAsia="仿宋" w:cs="仿宋"/>
          <w:spacing w:val="1"/>
          <w:sz w:val="28"/>
          <w:highlight w:val="none"/>
        </w:rPr>
        <w:t>：</w:t>
      </w:r>
      <w:r>
        <w:rPr>
          <w:rFonts w:hint="eastAsia" w:ascii="仿宋" w:hAnsi="仿宋" w:eastAsia="仿宋" w:cs="仿宋"/>
          <w:spacing w:val="1"/>
          <w:sz w:val="28"/>
          <w:highlight w:val="none"/>
          <w:lang w:val="en-US" w:eastAsia="zh-CN"/>
        </w:rPr>
        <w:t>服务</w:t>
      </w:r>
      <w:r>
        <w:rPr>
          <w:rFonts w:hint="eastAsia" w:ascii="仿宋" w:hAnsi="仿宋" w:eastAsia="仿宋" w:cs="仿宋"/>
          <w:spacing w:val="1"/>
          <w:sz w:val="28"/>
          <w:highlight w:val="none"/>
        </w:rPr>
        <w:t>完成并验收合格后，甲方收到乙方等额发票</w:t>
      </w:r>
      <w:r>
        <w:rPr>
          <w:rFonts w:hint="eastAsia" w:ascii="仿宋" w:hAnsi="仿宋" w:eastAsia="仿宋" w:cs="仿宋"/>
          <w:spacing w:val="1"/>
          <w:sz w:val="28"/>
          <w:highlight w:val="none"/>
          <w:lang w:val="en-US" w:eastAsia="zh-CN"/>
        </w:rPr>
        <w:t>和相关付款资料</w:t>
      </w:r>
      <w:r>
        <w:rPr>
          <w:rFonts w:hint="eastAsia" w:ascii="仿宋" w:hAnsi="仿宋" w:eastAsia="仿宋" w:cs="仿宋"/>
          <w:spacing w:val="1"/>
          <w:sz w:val="28"/>
          <w:highlight w:val="none"/>
        </w:rPr>
        <w:t>后</w:t>
      </w:r>
      <w:r>
        <w:rPr>
          <w:rFonts w:hint="eastAsia" w:ascii="仿宋" w:hAnsi="仿宋" w:eastAsia="仿宋" w:cs="仿宋"/>
          <w:spacing w:val="1"/>
          <w:sz w:val="28"/>
          <w:highlight w:val="none"/>
          <w:lang w:val="en-US" w:eastAsia="zh-CN"/>
        </w:rPr>
        <w:t>30</w:t>
      </w:r>
      <w:r>
        <w:rPr>
          <w:rFonts w:hint="eastAsia" w:ascii="仿宋" w:hAnsi="仿宋" w:eastAsia="仿宋" w:cs="仿宋"/>
          <w:spacing w:val="1"/>
          <w:sz w:val="28"/>
          <w:highlight w:val="none"/>
        </w:rPr>
        <w:t>日内支付</w:t>
      </w:r>
      <w:r>
        <w:rPr>
          <w:rFonts w:hint="eastAsia" w:ascii="仿宋" w:hAnsi="仿宋" w:eastAsia="仿宋" w:cs="仿宋"/>
          <w:spacing w:val="1"/>
          <w:sz w:val="28"/>
          <w:highlight w:val="none"/>
          <w:lang w:val="en-US" w:eastAsia="zh-CN"/>
        </w:rPr>
        <w:t>合同全款</w:t>
      </w:r>
      <w:r>
        <w:rPr>
          <w:rFonts w:hint="eastAsia" w:ascii="仿宋" w:hAnsi="仿宋" w:eastAsia="仿宋" w:cs="仿宋"/>
          <w:spacing w:val="1"/>
          <w:sz w:val="28"/>
          <w:highlight w:val="none"/>
        </w:rPr>
        <w:t>。</w:t>
      </w:r>
      <w:r>
        <w:rPr>
          <w:rFonts w:hint="eastAsia" w:ascii="仿宋" w:hAnsi="仿宋" w:eastAsia="仿宋" w:cs="仿宋"/>
          <w:spacing w:val="1"/>
          <w:sz w:val="28"/>
          <w:highlight w:val="none"/>
          <w:lang w:val="en-US" w:eastAsia="zh-CN"/>
        </w:rPr>
        <w:t>未在规定期限内验收合格，视为项目未通过验收，不予支付相关合同款项。</w:t>
      </w:r>
    </w:p>
    <w:p>
      <w:pPr>
        <w:pStyle w:val="5"/>
        <w:spacing w:line="360" w:lineRule="auto"/>
        <w:ind w:firstLine="566" w:firstLineChars="200"/>
        <w:rPr>
          <w:rFonts w:ascii="仿宋" w:hAnsi="仿宋" w:eastAsia="仿宋" w:cs="仿宋"/>
          <w:spacing w:val="1"/>
          <w:sz w:val="28"/>
        </w:rPr>
      </w:pPr>
      <w:r>
        <w:rPr>
          <w:rFonts w:ascii="仿宋" w:hAnsi="仿宋" w:eastAsia="仿宋" w:cs="仿宋"/>
          <w:b/>
          <w:spacing w:val="1"/>
          <w:sz w:val="28"/>
          <w:highlight w:val="none"/>
        </w:rPr>
        <w:t>5.</w:t>
      </w:r>
      <w:r>
        <w:rPr>
          <w:rFonts w:hint="eastAsia" w:ascii="仿宋" w:hAnsi="仿宋" w:eastAsia="仿宋" w:cs="仿宋"/>
          <w:b/>
          <w:spacing w:val="1"/>
          <w:sz w:val="28"/>
          <w:highlight w:val="none"/>
          <w:lang w:val="en-US" w:eastAsia="zh-CN"/>
        </w:rPr>
        <w:t>3</w:t>
      </w:r>
      <w:r>
        <w:rPr>
          <w:rFonts w:ascii="仿宋" w:hAnsi="仿宋" w:eastAsia="仿宋" w:cs="仿宋"/>
          <w:b/>
          <w:spacing w:val="1"/>
          <w:sz w:val="28"/>
          <w:highlight w:val="none"/>
        </w:rPr>
        <w:t>.</w:t>
      </w:r>
      <w:r>
        <w:rPr>
          <w:rFonts w:hint="eastAsia" w:ascii="仿宋" w:hAnsi="仿宋" w:eastAsia="仿宋" w:cs="仿宋"/>
          <w:b/>
          <w:spacing w:val="1"/>
          <w:sz w:val="28"/>
          <w:highlight w:val="none"/>
        </w:rPr>
        <w:t>3</w:t>
      </w:r>
      <w:r>
        <w:rPr>
          <w:rFonts w:ascii="仿宋" w:hAnsi="仿宋" w:eastAsia="仿宋" w:cs="仿宋"/>
          <w:b/>
          <w:spacing w:val="1"/>
          <w:sz w:val="28"/>
          <w:highlight w:val="none"/>
        </w:rPr>
        <w:t>.</w:t>
      </w:r>
      <w:r>
        <w:rPr>
          <w:rFonts w:hint="eastAsia" w:ascii="仿宋" w:hAnsi="仿宋" w:eastAsia="仿宋" w:cs="仿宋"/>
          <w:b/>
          <w:spacing w:val="1"/>
          <w:sz w:val="28"/>
          <w:highlight w:val="none"/>
        </w:rPr>
        <w:t>履约保障金：</w:t>
      </w:r>
      <w:r>
        <w:rPr>
          <w:rFonts w:hint="eastAsia" w:ascii="仿宋" w:hAnsi="仿宋" w:eastAsia="仿宋" w:cs="仿宋"/>
          <w:spacing w:val="1"/>
          <w:sz w:val="28"/>
          <w:highlight w:val="none"/>
          <w:lang w:val="en-US" w:eastAsia="zh-CN"/>
        </w:rPr>
        <w:t>无</w:t>
      </w:r>
      <w:r>
        <w:rPr>
          <w:rFonts w:hint="eastAsia" w:ascii="仿宋" w:hAnsi="仿宋" w:eastAsia="仿宋" w:cs="仿宋"/>
          <w:spacing w:val="1"/>
          <w:sz w:val="28"/>
        </w:rPr>
        <w:t>。</w:t>
      </w:r>
    </w:p>
    <w:p>
      <w:pPr>
        <w:pStyle w:val="5"/>
        <w:spacing w:line="360" w:lineRule="auto"/>
        <w:ind w:firstLine="566" w:firstLineChars="200"/>
        <w:rPr>
          <w:rFonts w:hint="eastAsia" w:asciiTheme="minorEastAsia" w:hAnsiTheme="minorEastAsia" w:eastAsiaTheme="minorEastAsia" w:cstheme="minorEastAsia"/>
          <w:sz w:val="24"/>
          <w:szCs w:val="24"/>
          <w:shd w:val="clear" w:color="auto" w:fill="FFFFFF"/>
        </w:rPr>
      </w:pPr>
      <w:r>
        <w:rPr>
          <w:rFonts w:ascii="仿宋" w:hAnsi="仿宋" w:eastAsia="仿宋" w:cs="仿宋"/>
          <w:b/>
          <w:spacing w:val="1"/>
          <w:sz w:val="28"/>
        </w:rPr>
        <w:t>5.</w:t>
      </w:r>
      <w:r>
        <w:rPr>
          <w:rFonts w:hint="eastAsia" w:ascii="仿宋" w:hAnsi="仿宋" w:eastAsia="仿宋" w:cs="仿宋"/>
          <w:b/>
          <w:spacing w:val="1"/>
          <w:sz w:val="28"/>
          <w:lang w:val="en-US" w:eastAsia="zh-CN"/>
        </w:rPr>
        <w:t>3</w:t>
      </w:r>
      <w:r>
        <w:rPr>
          <w:rFonts w:ascii="仿宋" w:hAnsi="仿宋" w:eastAsia="仿宋" w:cs="仿宋"/>
          <w:b/>
          <w:spacing w:val="1"/>
          <w:sz w:val="28"/>
        </w:rPr>
        <w:t>.</w:t>
      </w:r>
      <w:r>
        <w:rPr>
          <w:rFonts w:hint="eastAsia" w:ascii="仿宋" w:hAnsi="仿宋" w:eastAsia="仿宋" w:cs="仿宋"/>
          <w:b/>
          <w:spacing w:val="1"/>
          <w:sz w:val="28"/>
          <w:lang w:val="en-US" w:eastAsia="zh-CN"/>
        </w:rPr>
        <w:t>4</w:t>
      </w:r>
      <w:r>
        <w:rPr>
          <w:rFonts w:hint="eastAsia" w:ascii="仿宋" w:hAnsi="仿宋" w:eastAsia="仿宋" w:cs="仿宋"/>
          <w:b/>
          <w:spacing w:val="1"/>
          <w:sz w:val="28"/>
        </w:rPr>
        <w:t>验收标准：</w:t>
      </w:r>
      <w:r>
        <w:rPr>
          <w:rFonts w:hint="eastAsia" w:ascii="仿宋" w:hAnsi="仿宋" w:eastAsia="仿宋" w:cs="仿宋"/>
          <w:spacing w:val="1"/>
          <w:kern w:val="2"/>
          <w:sz w:val="28"/>
          <w:szCs w:val="24"/>
          <w:lang w:val="en-US" w:eastAsia="zh-CN" w:bidi="ar-SA"/>
        </w:rPr>
        <w:t>按国家有关规定、《财政部关于进一步加强政府采购需求和履行验收管理的指导意见》（财库〔2016〕205号）文件、招标文件要求、投标人的投标文件及有关承诺以及合同约定标准进行验收。本项目主要预期成果为“四川省严重精神障碍综合管理信息系统”通过等级保护测评（三级），在2022年12月31日前取得符合要求的《信息系统安全等级保护备案证明》即可视为验收合</w:t>
      </w:r>
      <w:r>
        <w:rPr>
          <w:rFonts w:hint="eastAsia" w:asciiTheme="minorEastAsia" w:hAnsiTheme="minorEastAsia" w:eastAsiaTheme="minorEastAsia" w:cstheme="minorEastAsia"/>
          <w:sz w:val="24"/>
          <w:szCs w:val="24"/>
          <w:shd w:val="clear" w:color="auto" w:fill="FFFFFF"/>
        </w:rPr>
        <w:t>格。</w:t>
      </w:r>
    </w:p>
    <w:p>
      <w:pPr>
        <w:pStyle w:val="6"/>
        <w:ind w:left="0" w:leftChars="0" w:firstLine="566" w:firstLineChars="200"/>
        <w:rPr>
          <w:rFonts w:hint="eastAsia" w:ascii="仿宋" w:hAnsi="仿宋" w:eastAsia="仿宋" w:cs="仿宋"/>
          <w:spacing w:val="1"/>
          <w:kern w:val="2"/>
          <w:sz w:val="28"/>
          <w:szCs w:val="24"/>
          <w:lang w:val="en-US" w:eastAsia="zh-CN" w:bidi="ar-SA"/>
        </w:rPr>
      </w:pPr>
      <w:r>
        <w:rPr>
          <w:rFonts w:ascii="仿宋" w:hAnsi="仿宋" w:eastAsia="仿宋" w:cs="仿宋"/>
          <w:b/>
          <w:spacing w:val="1"/>
          <w:sz w:val="28"/>
        </w:rPr>
        <w:t>5.</w:t>
      </w:r>
      <w:r>
        <w:rPr>
          <w:rFonts w:hint="eastAsia" w:ascii="仿宋" w:hAnsi="仿宋" w:eastAsia="仿宋" w:cs="仿宋"/>
          <w:b/>
          <w:spacing w:val="1"/>
          <w:sz w:val="28"/>
          <w:lang w:val="en-US" w:eastAsia="zh-CN"/>
        </w:rPr>
        <w:t>3</w:t>
      </w:r>
      <w:r>
        <w:rPr>
          <w:rFonts w:ascii="仿宋" w:hAnsi="仿宋" w:eastAsia="仿宋" w:cs="仿宋"/>
          <w:b/>
          <w:spacing w:val="1"/>
          <w:sz w:val="28"/>
        </w:rPr>
        <w:t>.</w:t>
      </w:r>
      <w:r>
        <w:rPr>
          <w:rFonts w:hint="eastAsia" w:ascii="仿宋" w:hAnsi="仿宋" w:eastAsia="仿宋" w:cs="仿宋"/>
          <w:b/>
          <w:spacing w:val="1"/>
          <w:sz w:val="28"/>
          <w:lang w:val="en-US" w:eastAsia="zh-CN"/>
        </w:rPr>
        <w:t>5</w:t>
      </w:r>
      <w:r>
        <w:rPr>
          <w:rFonts w:hint="eastAsia" w:asciiTheme="minorEastAsia" w:hAnsiTheme="minorEastAsia" w:eastAsiaTheme="minorEastAsia" w:cstheme="minorEastAsia"/>
          <w:sz w:val="24"/>
          <w:szCs w:val="24"/>
          <w:shd w:val="clear" w:color="auto" w:fill="FFFFFF"/>
        </w:rPr>
        <w:t xml:space="preserve"> </w:t>
      </w:r>
      <w:r>
        <w:rPr>
          <w:rFonts w:hint="eastAsia" w:ascii="仿宋" w:hAnsi="仿宋" w:eastAsia="仿宋" w:cs="仿宋"/>
          <w:b/>
          <w:spacing w:val="1"/>
          <w:sz w:val="28"/>
        </w:rPr>
        <w:t>培训要求：</w:t>
      </w:r>
      <w:r>
        <w:rPr>
          <w:rFonts w:hint="eastAsia" w:ascii="仿宋" w:hAnsi="仿宋" w:eastAsia="仿宋" w:cs="仿宋"/>
          <w:spacing w:val="1"/>
          <w:kern w:val="2"/>
          <w:sz w:val="28"/>
          <w:szCs w:val="24"/>
          <w:lang w:val="en-US" w:eastAsia="zh-CN" w:bidi="ar-SA"/>
        </w:rPr>
        <w:t>投标人结合本项目及招标人实际需要，提供技术培训方案。</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ind w:firstLine="566" w:firstLineChars="200"/>
        <w:textAlignment w:val="auto"/>
        <w:rPr>
          <w:rFonts w:hint="eastAsia" w:ascii="仿宋" w:hAnsi="仿宋" w:eastAsia="仿宋"/>
          <w:color w:val="000000"/>
          <w:sz w:val="28"/>
          <w:szCs w:val="27"/>
          <w:lang w:val="en-US" w:eastAsia="zh-CN"/>
        </w:rPr>
      </w:pPr>
      <w:r>
        <w:rPr>
          <w:rFonts w:hint="eastAsia" w:ascii="仿宋" w:hAnsi="仿宋" w:eastAsia="仿宋" w:cs="仿宋"/>
          <w:b/>
          <w:spacing w:val="1"/>
          <w:kern w:val="2"/>
          <w:sz w:val="28"/>
          <w:szCs w:val="24"/>
          <w:lang w:val="en-US" w:eastAsia="zh-CN" w:bidi="ar-SA"/>
        </w:rPr>
        <w:t>5.3.6 需满足的技术标准和规范：</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5.3.6.1《中华人民共和国计算机信息系统安全保护条例》(国务院令147号)</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5.3.6.2《信息安全等级保护管理办法》（公通字[2007]43号</w:t>
      </w:r>
    </w:p>
    <w:p>
      <w:pPr>
        <w:pStyle w:val="10"/>
        <w:keepNext w:val="0"/>
        <w:keepLines w:val="0"/>
        <w:pageBreakBefore w:val="0"/>
        <w:widowControl/>
        <w:kinsoku/>
        <w:wordWrap w:val="0"/>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5.3.6.3《计算机信息系统安全保护等级划分准则》（GB17859-1999）</w:t>
      </w:r>
    </w:p>
    <w:p>
      <w:pPr>
        <w:pStyle w:val="10"/>
        <w:keepNext w:val="0"/>
        <w:keepLines w:val="0"/>
        <w:pageBreakBefore w:val="0"/>
        <w:widowControl/>
        <w:kinsoku/>
        <w:wordWrap w:val="0"/>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5.3.6.4《信息安全技术网络安全等级保护定级指南》（GB/T22240-2020）</w:t>
      </w:r>
    </w:p>
    <w:p>
      <w:pPr>
        <w:pStyle w:val="10"/>
        <w:keepNext w:val="0"/>
        <w:keepLines w:val="0"/>
        <w:pageBreakBefore w:val="0"/>
        <w:widowControl/>
        <w:kinsoku/>
        <w:wordWrap w:val="0"/>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5.3.6.5《信息安全技术网络安全等级保护基本要求》（GB/T22239-2019)</w:t>
      </w:r>
    </w:p>
    <w:p>
      <w:pPr>
        <w:pStyle w:val="10"/>
        <w:keepNext w:val="0"/>
        <w:keepLines w:val="0"/>
        <w:pageBreakBefore w:val="0"/>
        <w:widowControl/>
        <w:kinsoku/>
        <w:wordWrap w:val="0"/>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5.3.6.6《信息安全技术网络安全等级保护测评要求》（GB/T28448-2019）</w:t>
      </w:r>
    </w:p>
    <w:p>
      <w:pPr>
        <w:pStyle w:val="10"/>
        <w:keepNext w:val="0"/>
        <w:keepLines w:val="0"/>
        <w:pageBreakBefore w:val="0"/>
        <w:widowControl/>
        <w:kinsoku/>
        <w:wordWrap w:val="0"/>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5.3.6.7《信息安全技术网络安全等级保护测评过程指南》（GB/T28449-2018）</w:t>
      </w:r>
    </w:p>
    <w:p>
      <w:pPr>
        <w:pStyle w:val="10"/>
        <w:keepNext w:val="0"/>
        <w:keepLines w:val="0"/>
        <w:pageBreakBefore w:val="0"/>
        <w:widowControl/>
        <w:kinsoku/>
        <w:wordWrap w:val="0"/>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5.3.6.8《信息安全技术网络安全等级保护实施指南》（GB/T 25058-2019）</w:t>
      </w:r>
    </w:p>
    <w:p>
      <w:pPr>
        <w:pStyle w:val="10"/>
        <w:keepNext w:val="0"/>
        <w:keepLines w:val="0"/>
        <w:pageBreakBefore w:val="0"/>
        <w:widowControl/>
        <w:kinsoku/>
        <w:wordWrap w:val="0"/>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5.3.6.9《信息安全技术信息安全风险评估规范》（GB/T20984-2015）</w:t>
      </w:r>
    </w:p>
    <w:p>
      <w:pPr>
        <w:pStyle w:val="10"/>
        <w:keepNext w:val="0"/>
        <w:keepLines w:val="0"/>
        <w:pageBreakBefore w:val="0"/>
        <w:widowControl/>
        <w:kinsoku/>
        <w:wordWrap w:val="0"/>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5.3.6.10《中华人民共和国网络安全法》</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ind w:firstLine="566" w:firstLineChars="200"/>
        <w:textAlignment w:val="auto"/>
        <w:rPr>
          <w:rFonts w:hint="eastAsia" w:ascii="仿宋" w:hAnsi="仿宋" w:eastAsia="仿宋"/>
          <w:color w:val="000000"/>
          <w:sz w:val="28"/>
          <w:szCs w:val="27"/>
          <w:lang w:val="en-US" w:eastAsia="zh-CN"/>
        </w:rPr>
      </w:pPr>
      <w:r>
        <w:rPr>
          <w:rFonts w:hint="eastAsia" w:ascii="仿宋" w:hAnsi="仿宋" w:eastAsia="仿宋" w:cs="仿宋"/>
          <w:b/>
          <w:spacing w:val="1"/>
          <w:kern w:val="2"/>
          <w:sz w:val="28"/>
          <w:szCs w:val="24"/>
          <w:lang w:val="en-US" w:eastAsia="zh-CN" w:bidi="ar-SA"/>
        </w:rPr>
        <w:t>5.3.7 需遵守的技术原则：</w:t>
      </w:r>
    </w:p>
    <w:p>
      <w:pPr>
        <w:pStyle w:val="10"/>
        <w:keepNext w:val="0"/>
        <w:keepLines w:val="0"/>
        <w:pageBreakBefore w:val="0"/>
        <w:widowControl/>
        <w:kinsoku/>
        <w:wordWrap w:val="0"/>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5.3.7.1保密原则：对测评的过程数据和结果数据严格保密，未经授权不得泄露给任何单位和个人，不得利用此数据进行任何侵害采购方的行为，否则采购方有权追究供应商的责任。</w:t>
      </w:r>
    </w:p>
    <w:p>
      <w:pPr>
        <w:pStyle w:val="10"/>
        <w:keepNext w:val="0"/>
        <w:keepLines w:val="0"/>
        <w:pageBreakBefore w:val="0"/>
        <w:widowControl/>
        <w:kinsoku/>
        <w:wordWrap w:val="0"/>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5.3.7.2标准性原则：测评方案的设计与实施应依据国家等级保护的相关标准进行。</w:t>
      </w:r>
    </w:p>
    <w:p>
      <w:pPr>
        <w:pStyle w:val="10"/>
        <w:keepNext w:val="0"/>
        <w:keepLines w:val="0"/>
        <w:pageBreakBefore w:val="0"/>
        <w:widowControl/>
        <w:kinsoku/>
        <w:wordWrap w:val="0"/>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5.3.7.3规范性原则：供应商的工作中的过程和文档，具有很好的规范性，可以便于项目的跟踪和控制，测评出具的报告须符合公安部颁布的《信息系统安全等级测评报告模板》。</w:t>
      </w:r>
    </w:p>
    <w:p>
      <w:pPr>
        <w:pStyle w:val="10"/>
        <w:keepNext w:val="0"/>
        <w:keepLines w:val="0"/>
        <w:pageBreakBefore w:val="0"/>
        <w:widowControl/>
        <w:kinsoku/>
        <w:wordWrap w:val="0"/>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5.3.7.4可控性原则：等保测评服务的进度要按照招标文件 的要求，保证采购方对于测评工作的可控性。</w:t>
      </w:r>
    </w:p>
    <w:p>
      <w:pPr>
        <w:pStyle w:val="10"/>
        <w:keepNext w:val="0"/>
        <w:keepLines w:val="0"/>
        <w:pageBreakBefore w:val="0"/>
        <w:widowControl/>
        <w:kinsoku/>
        <w:wordWrap w:val="0"/>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5.3.7.5整体性原则：等保测评服务的范围和内容应当整体全面，包括国家等级保护相关要求测评要求涉及的各个层面。</w:t>
      </w:r>
    </w:p>
    <w:p>
      <w:pPr>
        <w:pStyle w:val="10"/>
        <w:keepNext w:val="0"/>
        <w:keepLines w:val="0"/>
        <w:pageBreakBefore w:val="0"/>
        <w:widowControl/>
        <w:kinsoku/>
        <w:wordWrap w:val="0"/>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5.3.7.6安全性原则：等保测评服务工作应不得影响系统和网络的正常运行；测评工作不得对现有信息系统的正常运行、业务的正常开展产生任何影响。</w:t>
      </w:r>
    </w:p>
    <w:p>
      <w:pPr>
        <w:pStyle w:val="10"/>
        <w:keepNext w:val="0"/>
        <w:keepLines w:val="0"/>
        <w:pageBreakBefore w:val="0"/>
        <w:widowControl/>
        <w:kinsoku/>
        <w:wordWrap w:val="0"/>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5.3.7.7测评机构资质及人员要求：</w:t>
      </w:r>
    </w:p>
    <w:p>
      <w:pPr>
        <w:pStyle w:val="10"/>
        <w:keepNext w:val="0"/>
        <w:keepLines w:val="0"/>
        <w:pageBreakBefore w:val="0"/>
        <w:widowControl/>
        <w:kinsoku/>
        <w:wordWrap w:val="0"/>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（1）从事信息系统检测评估相关工作人员无违法记录；</w:t>
      </w:r>
    </w:p>
    <w:p>
      <w:pPr>
        <w:pStyle w:val="10"/>
        <w:keepNext w:val="0"/>
        <w:keepLines w:val="0"/>
        <w:pageBreakBefore w:val="0"/>
        <w:widowControl/>
        <w:kinsoku/>
        <w:wordWrap w:val="0"/>
        <w:overflowPunct/>
        <w:topLinePunct w:val="0"/>
        <w:autoSpaceDE/>
        <w:autoSpaceDN/>
        <w:bidi w:val="0"/>
        <w:adjustRightInd/>
        <w:snapToGrid/>
        <w:spacing w:before="0" w:beforeAutospacing="0" w:after="0" w:afterAutospacing="0"/>
        <w:ind w:firstLine="560" w:firstLineChars="200"/>
        <w:textAlignment w:val="auto"/>
        <w:rPr>
          <w:rFonts w:hint="eastAsia" w:ascii="仿宋" w:hAnsi="仿宋" w:eastAsia="仿宋"/>
          <w:color w:val="000000"/>
          <w:sz w:val="28"/>
          <w:szCs w:val="27"/>
          <w:lang w:val="en-US" w:eastAsia="zh-CN"/>
        </w:rPr>
      </w:pPr>
      <w:r>
        <w:rPr>
          <w:rFonts w:hint="eastAsia" w:ascii="仿宋" w:hAnsi="仿宋" w:eastAsia="仿宋"/>
          <w:color w:val="000000"/>
          <w:sz w:val="28"/>
          <w:szCs w:val="27"/>
          <w:lang w:val="en-US" w:eastAsia="zh-CN"/>
        </w:rPr>
        <w:t>（2）工作人员仅限于中华人民共和国境内的中国公民，且无犯罪记录；</w:t>
      </w:r>
    </w:p>
    <w:p>
      <w:pPr>
        <w:pStyle w:val="10"/>
        <w:keepNext w:val="0"/>
        <w:keepLines w:val="0"/>
        <w:pageBreakBefore w:val="0"/>
        <w:widowControl/>
        <w:kinsoku/>
        <w:wordWrap w:val="0"/>
        <w:overflowPunct/>
        <w:topLinePunct w:val="0"/>
        <w:autoSpaceDE/>
        <w:autoSpaceDN/>
        <w:bidi w:val="0"/>
        <w:adjustRightInd/>
        <w:snapToGrid/>
        <w:spacing w:before="0" w:beforeAutospacing="0" w:after="0" w:afterAutospacing="0"/>
        <w:ind w:firstLine="560" w:firstLineChars="200"/>
        <w:textAlignment w:val="auto"/>
        <w:rPr>
          <w:rFonts w:hint="eastAsia" w:asciiTheme="minorEastAsia" w:hAnsiTheme="minorEastAsia" w:eastAsiaTheme="minorEastAsia" w:cstheme="minorEastAsia"/>
          <w:sz w:val="24"/>
          <w:szCs w:val="24"/>
          <w:shd w:val="clear" w:color="auto" w:fill="FFFFFF"/>
        </w:rPr>
      </w:pPr>
      <w:r>
        <w:rPr>
          <w:rFonts w:hint="eastAsia" w:ascii="仿宋" w:hAnsi="仿宋" w:eastAsia="仿宋"/>
          <w:color w:val="000000"/>
          <w:sz w:val="28"/>
          <w:szCs w:val="27"/>
          <w:lang w:val="en-US" w:eastAsia="zh-CN"/>
        </w:rPr>
        <w:t>（3）测评期间需遵守被测单位相关管理规定，禁止利用测评工作从事危害被测单位利益、安全的活动。</w:t>
      </w:r>
    </w:p>
    <w:p>
      <w:pPr>
        <w:numPr>
          <w:ilvl w:val="0"/>
          <w:numId w:val="1"/>
        </w:numPr>
        <w:jc w:val="left"/>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评分标准表</w:t>
      </w:r>
    </w:p>
    <w:tbl>
      <w:tblPr>
        <w:tblStyle w:val="11"/>
        <w:tblW w:w="7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342"/>
        <w:gridCol w:w="850"/>
        <w:gridCol w:w="2693"/>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spacing w:line="360" w:lineRule="auto"/>
              <w:ind w:firstLine="28"/>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序号</w:t>
            </w:r>
          </w:p>
        </w:tc>
        <w:tc>
          <w:tcPr>
            <w:tcW w:w="1342" w:type="dxa"/>
            <w:vAlign w:val="center"/>
          </w:tcPr>
          <w:p>
            <w:pPr>
              <w:spacing w:line="360" w:lineRule="auto"/>
              <w:ind w:firstLine="28"/>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评分因素</w:t>
            </w:r>
          </w:p>
        </w:tc>
        <w:tc>
          <w:tcPr>
            <w:tcW w:w="850" w:type="dxa"/>
            <w:vAlign w:val="center"/>
          </w:tcPr>
          <w:p>
            <w:pPr>
              <w:spacing w:line="360" w:lineRule="auto"/>
              <w:ind w:firstLine="28"/>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权重</w:t>
            </w:r>
          </w:p>
        </w:tc>
        <w:tc>
          <w:tcPr>
            <w:tcW w:w="2693" w:type="dxa"/>
            <w:vAlign w:val="center"/>
          </w:tcPr>
          <w:p>
            <w:pPr>
              <w:spacing w:line="360" w:lineRule="auto"/>
              <w:ind w:firstLine="28"/>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评分标准</w:t>
            </w:r>
          </w:p>
        </w:tc>
        <w:tc>
          <w:tcPr>
            <w:tcW w:w="2127" w:type="dxa"/>
            <w:vAlign w:val="center"/>
          </w:tcPr>
          <w:p>
            <w:pPr>
              <w:spacing w:line="360" w:lineRule="auto"/>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sz w:val="24"/>
              </w:rPr>
              <w:t>1</w:t>
            </w:r>
          </w:p>
        </w:tc>
        <w:tc>
          <w:tcPr>
            <w:tcW w:w="1342" w:type="dxa"/>
            <w:vAlign w:val="center"/>
          </w:tcPr>
          <w:p>
            <w:pPr>
              <w:spacing w:line="400" w:lineRule="exact"/>
              <w:ind w:firstLine="28"/>
              <w:jc w:val="center"/>
              <w:rPr>
                <w:rFonts w:ascii="仿宋" w:hAnsi="仿宋" w:eastAsia="仿宋" w:cs="仿宋"/>
                <w:sz w:val="24"/>
              </w:rPr>
            </w:pPr>
            <w:r>
              <w:rPr>
                <w:rFonts w:hint="eastAsia" w:ascii="仿宋" w:hAnsi="仿宋" w:eastAsia="仿宋" w:cs="仿宋"/>
                <w:sz w:val="24"/>
              </w:rPr>
              <w:t>报价</w:t>
            </w:r>
          </w:p>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sz w:val="24"/>
              </w:rPr>
              <w:t>（共同评分因素）</w:t>
            </w:r>
          </w:p>
        </w:tc>
        <w:tc>
          <w:tcPr>
            <w:tcW w:w="850" w:type="dxa"/>
            <w:vAlign w:val="center"/>
          </w:tcPr>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sz w:val="24"/>
                <w:lang w:val="en-US" w:eastAsia="zh-CN"/>
              </w:rPr>
              <w:t>30</w:t>
            </w:r>
            <w:r>
              <w:rPr>
                <w:rFonts w:hint="eastAsia" w:ascii="仿宋" w:hAnsi="仿宋" w:eastAsia="仿宋" w:cs="仿宋"/>
                <w:sz w:val="24"/>
              </w:rPr>
              <w:t>%</w:t>
            </w:r>
          </w:p>
        </w:tc>
        <w:tc>
          <w:tcPr>
            <w:tcW w:w="2693" w:type="dxa"/>
            <w:vAlign w:val="center"/>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sz w:val="24"/>
              </w:rPr>
              <w:t>以满足招标文件要求且投标价格最低的投标报价作为基准价，其余投标报价得分=（基准价／投标报价）×权重×100。</w:t>
            </w:r>
          </w:p>
        </w:tc>
        <w:tc>
          <w:tcPr>
            <w:tcW w:w="2127" w:type="dxa"/>
            <w:vAlign w:val="center"/>
          </w:tcPr>
          <w:p>
            <w:pPr>
              <w:spacing w:line="360" w:lineRule="auto"/>
              <w:ind w:left="-38"/>
              <w:rPr>
                <w:rFonts w:ascii="仿宋" w:hAnsi="仿宋" w:eastAsia="仿宋" w:cs="仿宋"/>
                <w:color w:val="000000" w:themeColor="text1"/>
                <w:sz w:val="24"/>
                <w14:textFill>
                  <w14:solidFill>
                    <w14:schemeClr w14:val="tx1"/>
                  </w14:solidFill>
                </w14:textFill>
              </w:rPr>
            </w:pPr>
            <w:r>
              <w:rPr>
                <w:rFonts w:hint="eastAsia" w:ascii="仿宋" w:hAnsi="仿宋" w:eastAsia="仿宋" w:cs="仿宋"/>
                <w:kern w:val="0"/>
                <w:sz w:val="24"/>
              </w:rPr>
              <w:t>以投标人的报价文件为准。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80" w:type="dxa"/>
            <w:vAlign w:val="center"/>
          </w:tcPr>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sz w:val="24"/>
              </w:rPr>
              <w:t>2</w:t>
            </w:r>
          </w:p>
        </w:tc>
        <w:tc>
          <w:tcPr>
            <w:tcW w:w="1342" w:type="dxa"/>
            <w:vAlign w:val="center"/>
          </w:tcPr>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sz w:val="24"/>
              </w:rPr>
              <w:t>测评方案（技术评分因素）</w:t>
            </w:r>
          </w:p>
        </w:tc>
        <w:tc>
          <w:tcPr>
            <w:tcW w:w="850" w:type="dxa"/>
            <w:vAlign w:val="center"/>
          </w:tcPr>
          <w:p>
            <w:pPr>
              <w:widowControl/>
              <w:spacing w:line="360" w:lineRule="auto"/>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sz w:val="24"/>
                <w:lang w:val="en-US" w:eastAsia="zh-CN"/>
              </w:rPr>
              <w:t>21</w:t>
            </w:r>
            <w:r>
              <w:rPr>
                <w:rFonts w:hint="eastAsia" w:ascii="仿宋" w:hAnsi="仿宋" w:eastAsia="仿宋" w:cs="仿宋"/>
                <w:sz w:val="24"/>
              </w:rPr>
              <w:t>%</w:t>
            </w:r>
          </w:p>
        </w:tc>
        <w:tc>
          <w:tcPr>
            <w:tcW w:w="2693" w:type="dxa"/>
            <w:vAlign w:val="center"/>
          </w:tcPr>
          <w:p>
            <w:pPr>
              <w:spacing w:line="360" w:lineRule="auto"/>
              <w:rPr>
                <w:rFonts w:hint="eastAsia" w:ascii="仿宋" w:hAnsi="仿宋" w:eastAsia="仿宋" w:cs="仿宋"/>
                <w:sz w:val="24"/>
              </w:rPr>
            </w:pPr>
            <w:r>
              <w:rPr>
                <w:rFonts w:hint="eastAsia" w:ascii="仿宋" w:hAnsi="仿宋" w:eastAsia="仿宋" w:cs="仿宋"/>
                <w:sz w:val="24"/>
              </w:rPr>
              <w:t>1.对等级保护测评及优化方案的完整性、可行性、先进性和合理性进行综合评分，优秀的得</w:t>
            </w:r>
            <w:r>
              <w:rPr>
                <w:rFonts w:hint="eastAsia" w:ascii="仿宋" w:hAnsi="仿宋" w:eastAsia="仿宋" w:cs="仿宋"/>
                <w:sz w:val="24"/>
                <w:lang w:val="en-US" w:eastAsia="zh-CN"/>
              </w:rPr>
              <w:t>12</w:t>
            </w:r>
            <w:r>
              <w:rPr>
                <w:rFonts w:hint="eastAsia" w:ascii="仿宋" w:hAnsi="仿宋" w:eastAsia="仿宋" w:cs="仿宋"/>
                <w:sz w:val="24"/>
              </w:rPr>
              <w:t>分，良好的</w:t>
            </w:r>
            <w:r>
              <w:rPr>
                <w:rFonts w:hint="eastAsia" w:ascii="仿宋" w:hAnsi="仿宋" w:eastAsia="仿宋" w:cs="仿宋"/>
                <w:sz w:val="24"/>
                <w:lang w:val="en-US" w:eastAsia="zh-CN"/>
              </w:rPr>
              <w:t>6</w:t>
            </w:r>
            <w:r>
              <w:rPr>
                <w:rFonts w:hint="eastAsia" w:ascii="仿宋" w:hAnsi="仿宋" w:eastAsia="仿宋" w:cs="仿宋"/>
                <w:sz w:val="24"/>
              </w:rPr>
              <w:t>分、一般的得</w:t>
            </w:r>
            <w:r>
              <w:rPr>
                <w:rFonts w:hint="eastAsia" w:ascii="仿宋" w:hAnsi="仿宋" w:eastAsia="仿宋" w:cs="仿宋"/>
                <w:sz w:val="24"/>
                <w:lang w:val="en-US" w:eastAsia="zh-CN"/>
              </w:rPr>
              <w:t>3</w:t>
            </w:r>
            <w:r>
              <w:rPr>
                <w:rFonts w:hint="eastAsia" w:ascii="仿宋" w:hAnsi="仿宋" w:eastAsia="仿宋" w:cs="仿宋"/>
                <w:sz w:val="24"/>
              </w:rPr>
              <w:t>分，其他不得分。</w:t>
            </w:r>
          </w:p>
          <w:p>
            <w:pPr>
              <w:spacing w:line="360" w:lineRule="auto"/>
              <w:rPr>
                <w:rFonts w:ascii="仿宋" w:hAnsi="仿宋" w:eastAsia="仿宋" w:cs="仿宋"/>
                <w:color w:val="000000" w:themeColor="text1"/>
                <w:sz w:val="24"/>
                <w:lang w:val="zh-CN"/>
                <w14:textFill>
                  <w14:solidFill>
                    <w14:schemeClr w14:val="tx1"/>
                  </w14:solidFill>
                </w14:textFill>
              </w:rPr>
            </w:pPr>
            <w:r>
              <w:rPr>
                <w:rFonts w:hint="eastAsia" w:ascii="仿宋" w:hAnsi="仿宋" w:eastAsia="仿宋" w:cs="仿宋"/>
                <w:sz w:val="24"/>
              </w:rPr>
              <w:t>2.对本项目的理解及建议、组织管理的合理性、测评计划安排的完整性综合评分，优秀的得</w:t>
            </w:r>
            <w:r>
              <w:rPr>
                <w:rFonts w:hint="eastAsia" w:ascii="仿宋" w:hAnsi="仿宋" w:eastAsia="仿宋" w:cs="仿宋"/>
                <w:sz w:val="24"/>
                <w:lang w:val="en-US" w:eastAsia="zh-CN"/>
              </w:rPr>
              <w:t>9</w:t>
            </w:r>
            <w:r>
              <w:rPr>
                <w:rFonts w:hint="eastAsia" w:ascii="仿宋" w:hAnsi="仿宋" w:eastAsia="仿宋" w:cs="仿宋"/>
                <w:sz w:val="24"/>
              </w:rPr>
              <w:t>分，良好的得</w:t>
            </w:r>
            <w:r>
              <w:rPr>
                <w:rFonts w:hint="eastAsia" w:ascii="仿宋" w:hAnsi="仿宋" w:eastAsia="仿宋" w:cs="仿宋"/>
                <w:sz w:val="24"/>
                <w:lang w:val="en-US" w:eastAsia="zh-CN"/>
              </w:rPr>
              <w:t>5</w:t>
            </w:r>
            <w:r>
              <w:rPr>
                <w:rFonts w:hint="eastAsia" w:ascii="仿宋" w:hAnsi="仿宋" w:eastAsia="仿宋" w:cs="仿宋"/>
                <w:sz w:val="24"/>
              </w:rPr>
              <w:t>分，一般的</w:t>
            </w:r>
            <w:r>
              <w:rPr>
                <w:rFonts w:hint="eastAsia" w:ascii="仿宋" w:hAnsi="仿宋" w:eastAsia="仿宋" w:cs="仿宋"/>
                <w:sz w:val="24"/>
                <w:lang w:val="en-US" w:eastAsia="zh-CN"/>
              </w:rPr>
              <w:t>2</w:t>
            </w:r>
            <w:r>
              <w:rPr>
                <w:rFonts w:hint="eastAsia" w:ascii="仿宋" w:hAnsi="仿宋" w:eastAsia="仿宋" w:cs="仿宋"/>
                <w:sz w:val="24"/>
              </w:rPr>
              <w:t>分，其他不得分。</w:t>
            </w:r>
          </w:p>
        </w:tc>
        <w:tc>
          <w:tcPr>
            <w:tcW w:w="2127" w:type="dxa"/>
            <w:vAlign w:val="center"/>
          </w:tcPr>
          <w:p>
            <w:pPr>
              <w:widowControl/>
              <w:spacing w:line="360" w:lineRule="auto"/>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sz w:val="24"/>
              </w:rPr>
              <w:t>以投标人的投标文件为准。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80" w:type="dxa"/>
            <w:vAlign w:val="center"/>
          </w:tcPr>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sz w:val="24"/>
              </w:rPr>
              <w:t>3</w:t>
            </w:r>
          </w:p>
        </w:tc>
        <w:tc>
          <w:tcPr>
            <w:tcW w:w="1342" w:type="dxa"/>
            <w:vAlign w:val="center"/>
          </w:tcPr>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sz w:val="24"/>
                <w:lang w:val="en-US" w:eastAsia="zh-CN"/>
              </w:rPr>
              <w:t>企业资质及服务支撑</w:t>
            </w:r>
            <w:r>
              <w:rPr>
                <w:rFonts w:hint="eastAsia" w:ascii="仿宋" w:hAnsi="仿宋" w:eastAsia="仿宋" w:cs="仿宋"/>
                <w:sz w:val="24"/>
              </w:rPr>
              <w:t>（</w:t>
            </w:r>
            <w:r>
              <w:rPr>
                <w:rFonts w:hint="eastAsia" w:ascii="仿宋" w:hAnsi="仿宋" w:eastAsia="仿宋" w:cs="仿宋"/>
                <w:sz w:val="24"/>
                <w:lang w:val="en-US" w:eastAsia="zh-CN"/>
              </w:rPr>
              <w:t>共同</w:t>
            </w:r>
            <w:r>
              <w:rPr>
                <w:rFonts w:hint="eastAsia" w:ascii="仿宋" w:hAnsi="仿宋" w:eastAsia="仿宋" w:cs="仿宋"/>
                <w:sz w:val="24"/>
              </w:rPr>
              <w:t>评分因素）</w:t>
            </w:r>
          </w:p>
        </w:tc>
        <w:tc>
          <w:tcPr>
            <w:tcW w:w="850" w:type="dxa"/>
            <w:vAlign w:val="center"/>
          </w:tcPr>
          <w:p>
            <w:pPr>
              <w:widowControl/>
              <w:spacing w:line="360" w:lineRule="auto"/>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sz w:val="24"/>
                <w:lang w:val="en-US" w:eastAsia="zh-CN"/>
              </w:rPr>
              <w:t>13</w:t>
            </w:r>
            <w:r>
              <w:rPr>
                <w:rFonts w:hint="eastAsia" w:ascii="仿宋" w:hAnsi="仿宋" w:eastAsia="仿宋" w:cs="仿宋"/>
                <w:sz w:val="24"/>
              </w:rPr>
              <w:t>%</w:t>
            </w:r>
          </w:p>
        </w:tc>
        <w:tc>
          <w:tcPr>
            <w:tcW w:w="2693" w:type="dxa"/>
            <w:vAlign w:val="center"/>
          </w:tcPr>
          <w:p>
            <w:pPr>
              <w:widowControl/>
              <w:spacing w:line="360" w:lineRule="auto"/>
              <w:jc w:val="left"/>
              <w:rPr>
                <w:rFonts w:hint="eastAsia" w:ascii="仿宋" w:hAnsi="仿宋" w:eastAsia="仿宋" w:cs="仿宋"/>
                <w:sz w:val="24"/>
              </w:rPr>
            </w:pPr>
            <w:r>
              <w:rPr>
                <w:rFonts w:hint="eastAsia" w:ascii="仿宋" w:hAnsi="仿宋" w:eastAsia="仿宋" w:cs="仿宋"/>
                <w:sz w:val="24"/>
              </w:rPr>
              <w:t>1.投标人通过ISO 9001质量体系认证，且认证范围包括“信息安全等级保护测试评估服务”得1分；</w:t>
            </w:r>
          </w:p>
          <w:p>
            <w:pPr>
              <w:widowControl/>
              <w:spacing w:line="360" w:lineRule="auto"/>
              <w:jc w:val="left"/>
              <w:rPr>
                <w:rFonts w:hint="eastAsia" w:ascii="仿宋" w:hAnsi="仿宋" w:eastAsia="仿宋" w:cs="仿宋"/>
                <w:sz w:val="24"/>
              </w:rPr>
            </w:pPr>
            <w:r>
              <w:rPr>
                <w:rFonts w:hint="eastAsia" w:ascii="仿宋" w:hAnsi="仿宋" w:eastAsia="仿宋" w:cs="仿宋"/>
                <w:sz w:val="24"/>
              </w:rPr>
              <w:t>2.投标人通过ISO 27001信息安全管理系统认证，且认证范围包括“信息安全等级保护测试评估服务”得2分；</w:t>
            </w:r>
          </w:p>
          <w:p>
            <w:pPr>
              <w:widowControl/>
              <w:spacing w:line="360" w:lineRule="auto"/>
              <w:jc w:val="left"/>
              <w:rPr>
                <w:rFonts w:hint="eastAsia" w:ascii="仿宋" w:hAnsi="仿宋" w:eastAsia="仿宋" w:cs="仿宋"/>
                <w:sz w:val="24"/>
              </w:rPr>
            </w:pPr>
            <w:r>
              <w:rPr>
                <w:rFonts w:hint="eastAsia" w:ascii="仿宋" w:hAnsi="仿宋" w:eastAsia="仿宋" w:cs="仿宋"/>
                <w:sz w:val="24"/>
              </w:rPr>
              <w:t>3.投标人通过ISO 14001环境管理体系认证，且认证范围包括“信息安全等级保护测试评估服务”得2分；</w:t>
            </w:r>
          </w:p>
          <w:p>
            <w:pPr>
              <w:widowControl/>
              <w:spacing w:line="360" w:lineRule="auto"/>
              <w:jc w:val="left"/>
              <w:rPr>
                <w:rFonts w:hint="eastAsia" w:ascii="仿宋" w:hAnsi="仿宋" w:eastAsia="仿宋" w:cs="仿宋"/>
                <w:sz w:val="24"/>
              </w:rPr>
            </w:pPr>
            <w:r>
              <w:rPr>
                <w:rFonts w:hint="eastAsia" w:ascii="仿宋" w:hAnsi="仿宋" w:eastAsia="仿宋" w:cs="仿宋"/>
                <w:sz w:val="24"/>
              </w:rPr>
              <w:t>4.投标人通过OHSAS 18001职业健康安全管理系统认证，且认证范围包括“信息安全等级保护测试评估服务”得2分；</w:t>
            </w:r>
          </w:p>
          <w:p>
            <w:pPr>
              <w:widowControl/>
              <w:spacing w:line="360" w:lineRule="auto"/>
              <w:jc w:val="left"/>
              <w:rPr>
                <w:rFonts w:hint="eastAsia" w:ascii="仿宋" w:hAnsi="仿宋" w:eastAsia="仿宋" w:cs="仿宋"/>
                <w:sz w:val="24"/>
              </w:rPr>
            </w:pPr>
            <w:r>
              <w:rPr>
                <w:rFonts w:hint="eastAsia" w:ascii="仿宋" w:hAnsi="仿宋" w:eastAsia="仿宋" w:cs="仿宋"/>
                <w:sz w:val="24"/>
              </w:rPr>
              <w:t>5.投标人具有AAA信用认证，得1分；</w:t>
            </w:r>
          </w:p>
          <w:p>
            <w:pPr>
              <w:widowControl/>
              <w:spacing w:line="360" w:lineRule="auto"/>
              <w:jc w:val="left"/>
              <w:rPr>
                <w:rFonts w:ascii="仿宋" w:hAnsi="仿宋" w:eastAsia="仿宋" w:cs="仿宋"/>
                <w:color w:val="000000" w:themeColor="text1"/>
                <w:sz w:val="24"/>
                <w:lang w:val="zh-CN"/>
                <w14:textFill>
                  <w14:solidFill>
                    <w14:schemeClr w14:val="tx1"/>
                  </w14:solidFill>
                </w14:textFill>
              </w:rPr>
            </w:pPr>
            <w:r>
              <w:rPr>
                <w:rFonts w:hint="eastAsia" w:ascii="仿宋" w:hAnsi="仿宋" w:eastAsia="仿宋" w:cs="仿宋"/>
                <w:sz w:val="24"/>
              </w:rPr>
              <w:t>6.投标人提供24小时400/800服务热线支持电话得5分（提供开通证明材料和近一个月不少于20条有效通话记录）。</w:t>
            </w:r>
          </w:p>
        </w:tc>
        <w:tc>
          <w:tcPr>
            <w:tcW w:w="2127" w:type="dxa"/>
            <w:vAlign w:val="center"/>
          </w:tcPr>
          <w:p>
            <w:pPr>
              <w:widowControl/>
              <w:spacing w:line="360" w:lineRule="auto"/>
              <w:jc w:val="left"/>
              <w:rPr>
                <w:rFonts w:hint="eastAsia" w:ascii="仿宋" w:hAnsi="仿宋" w:eastAsia="仿宋" w:cs="仿宋"/>
                <w:color w:val="000000" w:themeColor="text1"/>
                <w:kern w:val="0"/>
                <w:sz w:val="24"/>
                <w:lang w:eastAsia="zh-CN"/>
                <w14:textFill>
                  <w14:solidFill>
                    <w14:schemeClr w14:val="tx1"/>
                  </w14:solidFill>
                </w14:textFill>
              </w:rPr>
            </w:pPr>
            <w:r>
              <w:rPr>
                <w:rFonts w:hint="eastAsia" w:ascii="仿宋" w:hAnsi="仿宋" w:eastAsia="仿宋" w:cs="仿宋"/>
                <w:sz w:val="24"/>
              </w:rPr>
              <w:t>资质或资格证书加盖投标人公章</w:t>
            </w:r>
            <w:r>
              <w:rPr>
                <w:rFonts w:hint="eastAsia" w:ascii="仿宋" w:hAnsi="仿宋" w:eastAsia="仿宋" w:cs="仿宋"/>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ascii="仿宋" w:hAnsi="仿宋" w:eastAsia="仿宋" w:cs="仿宋"/>
                <w:sz w:val="24"/>
              </w:rPr>
              <w:t>4</w:t>
            </w:r>
          </w:p>
        </w:tc>
        <w:tc>
          <w:tcPr>
            <w:tcW w:w="1342" w:type="dxa"/>
            <w:vAlign w:val="center"/>
          </w:tcPr>
          <w:p>
            <w:pPr>
              <w:spacing w:line="360"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sz w:val="24"/>
              </w:rPr>
              <w:t>履约能力（共同评分因素）</w:t>
            </w:r>
          </w:p>
        </w:tc>
        <w:tc>
          <w:tcPr>
            <w:tcW w:w="850" w:type="dxa"/>
            <w:vAlign w:val="center"/>
          </w:tcPr>
          <w:p>
            <w:pPr>
              <w:widowControl/>
              <w:spacing w:line="360" w:lineRule="auto"/>
              <w:jc w:val="center"/>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sz w:val="24"/>
                <w:lang w:val="en-US" w:eastAsia="zh-CN"/>
              </w:rPr>
              <w:t>26</w:t>
            </w:r>
            <w:r>
              <w:rPr>
                <w:rFonts w:hint="eastAsia" w:ascii="仿宋" w:hAnsi="仿宋" w:eastAsia="仿宋" w:cs="仿宋"/>
                <w:sz w:val="24"/>
              </w:rPr>
              <w:t>%</w:t>
            </w:r>
          </w:p>
        </w:tc>
        <w:tc>
          <w:tcPr>
            <w:tcW w:w="2693" w:type="dxa"/>
            <w:vAlign w:val="center"/>
          </w:tcPr>
          <w:p>
            <w:pPr>
              <w:widowControl/>
              <w:spacing w:line="360" w:lineRule="auto"/>
              <w:jc w:val="left"/>
              <w:rPr>
                <w:rFonts w:hint="eastAsia" w:ascii="仿宋" w:hAnsi="仿宋" w:eastAsia="仿宋" w:cs="仿宋"/>
                <w:sz w:val="24"/>
              </w:rPr>
            </w:pPr>
            <w:r>
              <w:rPr>
                <w:rFonts w:hint="eastAsia" w:ascii="仿宋" w:hAnsi="仿宋" w:eastAsia="仿宋" w:cs="仿宋"/>
                <w:sz w:val="24"/>
              </w:rPr>
              <w:t>1.项目组负责人具有以下资格的：</w:t>
            </w:r>
            <w:r>
              <w:rPr>
                <w:rFonts w:hint="eastAsia" w:ascii="仿宋" w:hAnsi="仿宋" w:eastAsia="仿宋" w:cs="仿宋"/>
                <w:sz w:val="24"/>
                <w:lang w:eastAsia="zh-CN"/>
              </w:rPr>
              <w:t>（</w:t>
            </w:r>
            <w:r>
              <w:rPr>
                <w:rFonts w:hint="eastAsia" w:ascii="仿宋" w:hAnsi="仿宋" w:eastAsia="仿宋" w:cs="仿宋"/>
                <w:sz w:val="24"/>
                <w:lang w:val="en-US" w:eastAsia="zh-CN"/>
              </w:rPr>
              <w:t>1</w:t>
            </w:r>
            <w:r>
              <w:rPr>
                <w:rFonts w:hint="eastAsia" w:ascii="仿宋" w:hAnsi="仿宋" w:eastAsia="仿宋" w:cs="仿宋"/>
                <w:sz w:val="24"/>
                <w:lang w:eastAsia="zh-CN"/>
              </w:rPr>
              <w:t>）</w:t>
            </w:r>
            <w:r>
              <w:rPr>
                <w:rFonts w:hint="eastAsia" w:ascii="仿宋" w:hAnsi="仿宋" w:eastAsia="仿宋" w:cs="仿宋"/>
                <w:sz w:val="24"/>
              </w:rPr>
              <w:t>项目负责人具有信息安全等级测评师高级及以上证书的得</w:t>
            </w:r>
            <w:r>
              <w:rPr>
                <w:rFonts w:hint="eastAsia" w:ascii="仿宋" w:hAnsi="仿宋" w:eastAsia="仿宋" w:cs="仿宋"/>
                <w:sz w:val="24"/>
                <w:lang w:val="en-US" w:eastAsia="zh-CN"/>
              </w:rPr>
              <w:t>4</w:t>
            </w:r>
            <w:r>
              <w:rPr>
                <w:rFonts w:hint="eastAsia" w:ascii="仿宋" w:hAnsi="仿宋" w:eastAsia="仿宋" w:cs="仿宋"/>
                <w:sz w:val="24"/>
              </w:rPr>
              <w:t>分，其它不得分，此项最多得</w:t>
            </w:r>
            <w:r>
              <w:rPr>
                <w:rFonts w:hint="eastAsia" w:ascii="仿宋" w:hAnsi="仿宋" w:eastAsia="仿宋" w:cs="仿宋"/>
                <w:sz w:val="24"/>
                <w:lang w:val="en-US" w:eastAsia="zh-CN"/>
              </w:rPr>
              <w:t>4</w:t>
            </w:r>
            <w:r>
              <w:rPr>
                <w:rFonts w:hint="eastAsia" w:ascii="仿宋" w:hAnsi="仿宋" w:eastAsia="仿宋" w:cs="仿宋"/>
                <w:sz w:val="24"/>
              </w:rPr>
              <w:t>分；</w:t>
            </w:r>
            <w:r>
              <w:rPr>
                <w:rFonts w:hint="eastAsia" w:ascii="仿宋" w:hAnsi="仿宋" w:eastAsia="仿宋" w:cs="仿宋"/>
                <w:sz w:val="24"/>
                <w:lang w:eastAsia="zh-CN"/>
              </w:rPr>
              <w:t>（</w:t>
            </w:r>
            <w:r>
              <w:rPr>
                <w:rFonts w:hint="eastAsia" w:ascii="仿宋" w:hAnsi="仿宋" w:eastAsia="仿宋" w:cs="仿宋"/>
                <w:sz w:val="24"/>
                <w:lang w:val="en-US" w:eastAsia="zh-CN"/>
              </w:rPr>
              <w:t>2</w:t>
            </w:r>
            <w:r>
              <w:rPr>
                <w:rFonts w:hint="eastAsia" w:ascii="仿宋" w:hAnsi="仿宋" w:eastAsia="仿宋" w:cs="仿宋"/>
                <w:sz w:val="24"/>
                <w:lang w:eastAsia="zh-CN"/>
              </w:rPr>
              <w:t>）</w:t>
            </w:r>
            <w:r>
              <w:rPr>
                <w:rFonts w:hint="eastAsia" w:ascii="仿宋" w:hAnsi="仿宋" w:eastAsia="仿宋" w:cs="仿宋"/>
                <w:sz w:val="24"/>
              </w:rPr>
              <w:t>项目负责人同时具有互联网安全评估师高级证书（CIISA）、信息安全工程师证书（软考类）、国际软件测试工程师（ISTQB）证书、商用密码应用安全性评估人员能力合格证书、注册云安全系统认证专家（CCSSP）证书的，每满足一个得</w:t>
            </w:r>
            <w:r>
              <w:rPr>
                <w:rFonts w:hint="eastAsia" w:ascii="仿宋" w:hAnsi="仿宋" w:eastAsia="仿宋" w:cs="仿宋"/>
                <w:sz w:val="24"/>
                <w:lang w:val="en-US" w:eastAsia="zh-CN"/>
              </w:rPr>
              <w:t>2</w:t>
            </w:r>
            <w:r>
              <w:rPr>
                <w:rFonts w:hint="eastAsia" w:ascii="仿宋" w:hAnsi="仿宋" w:eastAsia="仿宋" w:cs="仿宋"/>
                <w:sz w:val="24"/>
              </w:rPr>
              <w:t>分，此项最多得</w:t>
            </w:r>
            <w:r>
              <w:rPr>
                <w:rFonts w:hint="eastAsia" w:ascii="仿宋" w:hAnsi="仿宋" w:eastAsia="仿宋" w:cs="仿宋"/>
                <w:sz w:val="24"/>
                <w:lang w:val="en-US" w:eastAsia="zh-CN"/>
              </w:rPr>
              <w:t>1</w:t>
            </w:r>
            <w:r>
              <w:rPr>
                <w:rFonts w:hint="eastAsia" w:ascii="仿宋" w:hAnsi="仿宋" w:eastAsia="仿宋" w:cs="仿宋"/>
                <w:sz w:val="24"/>
              </w:rPr>
              <w:t>0分；</w:t>
            </w:r>
          </w:p>
          <w:p>
            <w:pPr>
              <w:widowControl/>
              <w:spacing w:line="360" w:lineRule="auto"/>
              <w:jc w:val="left"/>
              <w:rPr>
                <w:rFonts w:hint="eastAsia" w:ascii="仿宋" w:hAnsi="仿宋" w:eastAsia="仿宋" w:cs="仿宋"/>
                <w:sz w:val="24"/>
              </w:rPr>
            </w:pPr>
            <w:r>
              <w:rPr>
                <w:rFonts w:hint="eastAsia" w:ascii="仿宋" w:hAnsi="仿宋" w:eastAsia="仿宋" w:cs="仿宋"/>
                <w:sz w:val="24"/>
              </w:rPr>
              <w:t>2.项目组除负责人外的其它测评人员具有以下资格的：</w:t>
            </w:r>
            <w:r>
              <w:rPr>
                <w:rFonts w:hint="eastAsia" w:ascii="仿宋" w:hAnsi="仿宋" w:eastAsia="仿宋" w:cs="仿宋"/>
                <w:sz w:val="24"/>
                <w:lang w:eastAsia="zh-CN"/>
              </w:rPr>
              <w:t>（</w:t>
            </w:r>
            <w:r>
              <w:rPr>
                <w:rFonts w:hint="eastAsia" w:ascii="仿宋" w:hAnsi="仿宋" w:eastAsia="仿宋" w:cs="仿宋"/>
                <w:sz w:val="24"/>
                <w:lang w:val="en-US" w:eastAsia="zh-CN"/>
              </w:rPr>
              <w:t>1</w:t>
            </w:r>
            <w:r>
              <w:rPr>
                <w:rFonts w:hint="eastAsia" w:ascii="仿宋" w:hAnsi="仿宋" w:eastAsia="仿宋" w:cs="仿宋"/>
                <w:sz w:val="24"/>
                <w:lang w:eastAsia="zh-CN"/>
              </w:rPr>
              <w:t>）</w:t>
            </w:r>
            <w:r>
              <w:rPr>
                <w:rFonts w:hint="eastAsia" w:ascii="仿宋" w:hAnsi="仿宋" w:eastAsia="仿宋" w:cs="仿宋"/>
                <w:sz w:val="24"/>
              </w:rPr>
              <w:t>现场测评经理同时具有等级保护测评师高级证书，涉密人员资格证和注册信息安全专业人员证书（CISP），得</w:t>
            </w:r>
            <w:r>
              <w:rPr>
                <w:rFonts w:hint="eastAsia" w:ascii="仿宋" w:hAnsi="仿宋" w:eastAsia="仿宋" w:cs="仿宋"/>
                <w:sz w:val="24"/>
                <w:lang w:val="en-US" w:eastAsia="zh-CN"/>
              </w:rPr>
              <w:t>4</w:t>
            </w:r>
            <w:r>
              <w:rPr>
                <w:rFonts w:hint="eastAsia" w:ascii="仿宋" w:hAnsi="仿宋" w:eastAsia="仿宋" w:cs="仿宋"/>
                <w:sz w:val="24"/>
              </w:rPr>
              <w:t>分，其他不得分；</w:t>
            </w:r>
            <w:r>
              <w:rPr>
                <w:rFonts w:hint="eastAsia" w:ascii="仿宋" w:hAnsi="仿宋" w:eastAsia="仿宋" w:cs="仿宋"/>
                <w:sz w:val="24"/>
                <w:lang w:eastAsia="zh-CN"/>
              </w:rPr>
              <w:t>（</w:t>
            </w:r>
            <w:r>
              <w:rPr>
                <w:rFonts w:hint="eastAsia" w:ascii="仿宋" w:hAnsi="仿宋" w:eastAsia="仿宋" w:cs="仿宋"/>
                <w:sz w:val="24"/>
                <w:lang w:val="en-US" w:eastAsia="zh-CN"/>
              </w:rPr>
              <w:t>2</w:t>
            </w:r>
            <w:r>
              <w:rPr>
                <w:rFonts w:hint="eastAsia" w:ascii="仿宋" w:hAnsi="仿宋" w:eastAsia="仿宋" w:cs="仿宋"/>
                <w:sz w:val="24"/>
                <w:lang w:eastAsia="zh-CN"/>
              </w:rPr>
              <w:t>）</w:t>
            </w:r>
            <w:r>
              <w:rPr>
                <w:rFonts w:hint="eastAsia" w:ascii="仿宋" w:hAnsi="仿宋" w:eastAsia="仿宋" w:cs="仿宋"/>
                <w:sz w:val="24"/>
              </w:rPr>
              <w:t>其余测评人员具有IT服务工程师（ITSE）证书、互联网安全评估师证书（CIISA）、商用密码应用安全性评估人员能力合格证书、国际软件测试工程师（ISTQB）证书，每项得</w:t>
            </w:r>
            <w:r>
              <w:rPr>
                <w:rFonts w:hint="eastAsia" w:ascii="仿宋" w:hAnsi="仿宋" w:eastAsia="仿宋" w:cs="仿宋"/>
                <w:sz w:val="24"/>
                <w:lang w:val="en-US" w:eastAsia="zh-CN"/>
              </w:rPr>
              <w:t>2</w:t>
            </w:r>
            <w:r>
              <w:rPr>
                <w:rFonts w:hint="eastAsia" w:ascii="仿宋" w:hAnsi="仿宋" w:eastAsia="仿宋" w:cs="仿宋"/>
                <w:sz w:val="24"/>
              </w:rPr>
              <w:t>分（每项证书不能重复得分），此项最多得</w:t>
            </w:r>
            <w:r>
              <w:rPr>
                <w:rFonts w:hint="eastAsia" w:ascii="仿宋" w:hAnsi="仿宋" w:eastAsia="仿宋" w:cs="仿宋"/>
                <w:sz w:val="24"/>
                <w:lang w:val="en-US" w:eastAsia="zh-CN"/>
              </w:rPr>
              <w:t>8</w:t>
            </w:r>
            <w:r>
              <w:rPr>
                <w:rFonts w:hint="eastAsia" w:ascii="仿宋" w:hAnsi="仿宋" w:eastAsia="仿宋" w:cs="仿宋"/>
                <w:sz w:val="24"/>
              </w:rPr>
              <w:t>分。</w:t>
            </w:r>
          </w:p>
        </w:tc>
        <w:tc>
          <w:tcPr>
            <w:tcW w:w="2127" w:type="dxa"/>
            <w:vAlign w:val="center"/>
          </w:tcPr>
          <w:p>
            <w:pPr>
              <w:spacing w:line="400" w:lineRule="exact"/>
              <w:ind w:left="-38"/>
              <w:rPr>
                <w:rFonts w:ascii="仿宋" w:hAnsi="仿宋" w:eastAsia="仿宋" w:cs="仿宋"/>
                <w:sz w:val="24"/>
              </w:rPr>
            </w:pPr>
            <w:r>
              <w:rPr>
                <w:rFonts w:hint="eastAsia" w:ascii="仿宋" w:hAnsi="仿宋" w:eastAsia="仿宋" w:cs="仿宋"/>
                <w:sz w:val="24"/>
              </w:rPr>
              <w:t>提供相关人员证书证明材料和复印件，加盖投标人公章，原件备查。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spacing w:line="360" w:lineRule="auto"/>
              <w:ind w:firstLine="28"/>
              <w:jc w:val="center"/>
              <w:rPr>
                <w:rFonts w:hint="eastAsia" w:ascii="仿宋" w:hAnsi="仿宋" w:eastAsia="仿宋" w:cs="仿宋"/>
                <w:sz w:val="24"/>
                <w:lang w:val="en-US" w:eastAsia="zh-CN"/>
              </w:rPr>
            </w:pPr>
            <w:r>
              <w:rPr>
                <w:rFonts w:hint="eastAsia" w:ascii="仿宋" w:hAnsi="仿宋" w:eastAsia="仿宋" w:cs="仿宋"/>
                <w:sz w:val="24"/>
                <w:lang w:val="en-US" w:eastAsia="zh-CN"/>
              </w:rPr>
              <w:t>5</w:t>
            </w:r>
          </w:p>
        </w:tc>
        <w:tc>
          <w:tcPr>
            <w:tcW w:w="1342" w:type="dxa"/>
            <w:vAlign w:val="center"/>
          </w:tcPr>
          <w:p>
            <w:pPr>
              <w:spacing w:line="360" w:lineRule="auto"/>
              <w:jc w:val="center"/>
              <w:rPr>
                <w:rFonts w:hint="eastAsia" w:ascii="仿宋" w:hAnsi="仿宋" w:eastAsia="仿宋" w:cs="仿宋"/>
                <w:sz w:val="24"/>
              </w:rPr>
            </w:pPr>
            <w:r>
              <w:rPr>
                <w:rFonts w:hint="eastAsia" w:ascii="仿宋" w:hAnsi="仿宋" w:eastAsia="仿宋" w:cs="仿宋"/>
                <w:sz w:val="24"/>
              </w:rPr>
              <w:t>相关服务项目业绩（共同评分因素）</w:t>
            </w:r>
          </w:p>
        </w:tc>
        <w:tc>
          <w:tcPr>
            <w:tcW w:w="850" w:type="dxa"/>
            <w:vAlign w:val="center"/>
          </w:tcPr>
          <w:p>
            <w:pPr>
              <w:widowControl/>
              <w:spacing w:line="360" w:lineRule="auto"/>
              <w:jc w:val="center"/>
              <w:rPr>
                <w:rFonts w:hint="default" w:ascii="仿宋" w:hAnsi="仿宋" w:eastAsia="仿宋" w:cs="仿宋"/>
                <w:sz w:val="24"/>
                <w:lang w:val="en-US" w:eastAsia="zh-CN"/>
              </w:rPr>
            </w:pPr>
            <w:r>
              <w:rPr>
                <w:rFonts w:hint="eastAsia" w:ascii="仿宋" w:hAnsi="仿宋" w:eastAsia="仿宋" w:cs="仿宋"/>
                <w:sz w:val="24"/>
                <w:lang w:val="en-US" w:eastAsia="zh-CN"/>
              </w:rPr>
              <w:t>10%</w:t>
            </w:r>
          </w:p>
        </w:tc>
        <w:tc>
          <w:tcPr>
            <w:tcW w:w="2693" w:type="dxa"/>
            <w:vAlign w:val="center"/>
          </w:tcPr>
          <w:p>
            <w:pPr>
              <w:widowControl/>
              <w:spacing w:line="360" w:lineRule="auto"/>
              <w:jc w:val="left"/>
              <w:rPr>
                <w:rFonts w:hint="eastAsia" w:ascii="仿宋" w:hAnsi="仿宋" w:eastAsia="仿宋" w:cs="仿宋"/>
                <w:sz w:val="24"/>
              </w:rPr>
            </w:pPr>
            <w:r>
              <w:rPr>
                <w:rFonts w:hint="eastAsia" w:ascii="仿宋" w:hAnsi="仿宋" w:eastAsia="仿宋" w:cs="仿宋"/>
                <w:sz w:val="24"/>
              </w:rPr>
              <w:t>投标人自2018年1月1日至今每有等保测评服务案例，每提供一个得分1分，不未提供的得分。</w:t>
            </w:r>
          </w:p>
        </w:tc>
        <w:tc>
          <w:tcPr>
            <w:tcW w:w="2127" w:type="dxa"/>
            <w:vAlign w:val="center"/>
          </w:tcPr>
          <w:p>
            <w:pPr>
              <w:spacing w:line="400" w:lineRule="exact"/>
              <w:ind w:left="-38"/>
              <w:jc w:val="center"/>
              <w:rPr>
                <w:rFonts w:hint="eastAsia" w:ascii="仿宋" w:hAnsi="仿宋" w:eastAsia="仿宋" w:cs="仿宋"/>
                <w:sz w:val="24"/>
              </w:rPr>
            </w:pPr>
            <w:r>
              <w:rPr>
                <w:rFonts w:hint="eastAsia" w:ascii="仿宋" w:hAnsi="仿宋" w:eastAsia="仿宋" w:cs="仿宋"/>
                <w:sz w:val="24"/>
              </w:rPr>
              <w:t>提供相关合同复印件，原件备查。</w:t>
            </w:r>
          </w:p>
        </w:tc>
      </w:tr>
    </w:tbl>
    <w:p>
      <w:pPr>
        <w:jc w:val="left"/>
        <w:rPr>
          <w:rFonts w:ascii="仿宋" w:hAnsi="仿宋" w:eastAsia="仿宋" w:cstheme="minorEastAsia"/>
          <w:color w:val="000000" w:themeColor="text1"/>
          <w:sz w:val="28"/>
          <w:szCs w:val="28"/>
          <w14:textFill>
            <w14:solidFill>
              <w14:schemeClr w14:val="tx1"/>
            </w14:solidFill>
          </w14:textFill>
        </w:rPr>
      </w:pPr>
    </w:p>
    <w:p>
      <w:pPr>
        <w:rPr>
          <w:rFonts w:ascii="仿宋" w:hAnsi="仿宋" w:eastAsia="仿宋" w:cstheme="minorEastAsia"/>
          <w:color w:val="000000" w:themeColor="text1"/>
          <w:sz w:val="28"/>
          <w:szCs w:val="28"/>
          <w14:textFill>
            <w14:solidFill>
              <w14:schemeClr w14:val="tx1"/>
            </w14:solidFill>
          </w14:textFill>
        </w:rPr>
      </w:pPr>
    </w:p>
    <w:p>
      <w:pPr>
        <w:numPr>
          <w:ilvl w:val="0"/>
          <w:numId w:val="0"/>
        </w:numPr>
        <w:jc w:val="left"/>
        <w:rPr>
          <w:rFonts w:hint="eastAsia" w:ascii="仿宋" w:hAnsi="仿宋" w:eastAsia="仿宋" w:cstheme="minorEastAsia"/>
          <w:color w:val="000000" w:themeColor="text1"/>
          <w:sz w:val="28"/>
          <w:szCs w:val="28"/>
          <w14:textFill>
            <w14:solidFill>
              <w14:schemeClr w14:val="tx1"/>
            </w14:solidFill>
          </w14:textFill>
        </w:rPr>
      </w:pPr>
    </w:p>
    <w:p>
      <w:pPr>
        <w:numPr>
          <w:ilvl w:val="0"/>
          <w:numId w:val="0"/>
        </w:numPr>
        <w:jc w:val="left"/>
        <w:rPr>
          <w:rFonts w:ascii="仿宋" w:hAnsi="仿宋" w:eastAsia="仿宋" w:cstheme="minorEastAsia"/>
          <w:b/>
          <w:bCs/>
          <w:color w:val="000000" w:themeColor="text1"/>
          <w:sz w:val="28"/>
          <w:szCs w:val="28"/>
          <w14:textFill>
            <w14:solidFill>
              <w14:schemeClr w14:val="tx1"/>
            </w14:solidFill>
          </w14:textFill>
        </w:rPr>
      </w:pPr>
      <w:r>
        <w:rPr>
          <w:rFonts w:hint="eastAsia" w:ascii="仿宋" w:hAnsi="仿宋" w:eastAsia="仿宋" w:cstheme="minorEastAsia"/>
          <w:b/>
          <w:bCs/>
          <w:color w:val="000000" w:themeColor="text1"/>
          <w:sz w:val="28"/>
          <w:szCs w:val="28"/>
          <w:lang w:val="en-US" w:eastAsia="zh-CN"/>
          <w14:textFill>
            <w14:solidFill>
              <w14:schemeClr w14:val="tx1"/>
            </w14:solidFill>
          </w14:textFill>
        </w:rPr>
        <w:t xml:space="preserve">第七部分 </w:t>
      </w:r>
      <w:r>
        <w:rPr>
          <w:rFonts w:hint="eastAsia" w:ascii="仿宋" w:hAnsi="仿宋" w:eastAsia="仿宋" w:cstheme="minorEastAsia"/>
          <w:b/>
          <w:bCs/>
          <w:color w:val="000000" w:themeColor="text1"/>
          <w:sz w:val="28"/>
          <w:szCs w:val="28"/>
          <w14:textFill>
            <w14:solidFill>
              <w14:schemeClr w14:val="tx1"/>
            </w14:solidFill>
          </w14:textFill>
        </w:rPr>
        <w:t>联系方式</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5.1采购联系人：</w:t>
      </w:r>
      <w:r>
        <w:rPr>
          <w:rFonts w:hint="eastAsia" w:ascii="仿宋" w:hAnsi="仿宋" w:eastAsia="仿宋" w:cstheme="minorEastAsia"/>
          <w:color w:val="000000" w:themeColor="text1"/>
          <w:sz w:val="28"/>
          <w:szCs w:val="28"/>
          <w:lang w:val="en-US" w:eastAsia="zh-CN"/>
          <w14:textFill>
            <w14:solidFill>
              <w14:schemeClr w14:val="tx1"/>
            </w14:solidFill>
          </w14:textFill>
        </w:rPr>
        <w:t>陈</w:t>
      </w:r>
      <w:r>
        <w:rPr>
          <w:rFonts w:hint="eastAsia" w:ascii="仿宋" w:hAnsi="仿宋" w:eastAsia="仿宋" w:cstheme="minorEastAsia"/>
          <w:color w:val="000000" w:themeColor="text1"/>
          <w:sz w:val="28"/>
          <w:szCs w:val="28"/>
          <w14:textFill>
            <w14:solidFill>
              <w14:schemeClr w14:val="tx1"/>
            </w14:solidFill>
          </w14:textFill>
        </w:rPr>
        <w:t>老师028-81020254</w:t>
      </w:r>
    </w:p>
    <w:p>
      <w:pPr>
        <w:jc w:val="left"/>
        <w:rPr>
          <w:rFonts w:hint="eastAsia" w:ascii="仿宋" w:hAnsi="仿宋" w:eastAsia="仿宋" w:cstheme="minorEastAsia"/>
          <w:color w:val="000000" w:themeColor="text1"/>
          <w:sz w:val="28"/>
          <w:szCs w:val="28"/>
          <w:lang w:val="en-US" w:eastAsia="zh-CN"/>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5.2</w:t>
      </w:r>
      <w:r>
        <w:rPr>
          <w:rFonts w:hint="eastAsia" w:ascii="仿宋" w:hAnsi="仿宋" w:eastAsia="仿宋" w:cstheme="minorEastAsia"/>
          <w:color w:val="000000" w:themeColor="text1"/>
          <w:sz w:val="28"/>
          <w:szCs w:val="28"/>
          <w:lang w:val="en-US" w:eastAsia="zh-CN"/>
          <w14:textFill>
            <w14:solidFill>
              <w14:schemeClr w14:val="tx1"/>
            </w14:solidFill>
          </w14:textFill>
        </w:rPr>
        <w:t>技术</w:t>
      </w:r>
      <w:r>
        <w:rPr>
          <w:rFonts w:hint="eastAsia" w:ascii="仿宋" w:hAnsi="仿宋" w:eastAsia="仿宋" w:cstheme="minorEastAsia"/>
          <w:color w:val="000000" w:themeColor="text1"/>
          <w:sz w:val="28"/>
          <w:szCs w:val="28"/>
          <w14:textFill>
            <w14:solidFill>
              <w14:schemeClr w14:val="tx1"/>
            </w14:solidFill>
          </w14:textFill>
        </w:rPr>
        <w:t>联系人：</w:t>
      </w:r>
      <w:r>
        <w:rPr>
          <w:rFonts w:hint="eastAsia" w:ascii="仿宋" w:hAnsi="仿宋" w:eastAsia="仿宋" w:cstheme="minorEastAsia"/>
          <w:color w:val="000000" w:themeColor="text1"/>
          <w:sz w:val="28"/>
          <w:szCs w:val="28"/>
          <w:lang w:val="en-US" w:eastAsia="zh-CN"/>
          <w14:textFill>
            <w14:solidFill>
              <w14:schemeClr w14:val="tx1"/>
            </w14:solidFill>
          </w14:textFill>
        </w:rPr>
        <w:t>王</w:t>
      </w:r>
      <w:r>
        <w:rPr>
          <w:rFonts w:hint="eastAsia" w:ascii="仿宋" w:hAnsi="仿宋" w:eastAsia="仿宋" w:cstheme="minorEastAsia"/>
          <w:color w:val="000000" w:themeColor="text1"/>
          <w:sz w:val="28"/>
          <w:szCs w:val="28"/>
          <w14:textFill>
            <w14:solidFill>
              <w14:schemeClr w14:val="tx1"/>
            </w14:solidFill>
          </w14:textFill>
        </w:rPr>
        <w:t>老师028-81020</w:t>
      </w:r>
      <w:r>
        <w:rPr>
          <w:rFonts w:hint="eastAsia" w:ascii="仿宋" w:hAnsi="仿宋" w:eastAsia="仿宋" w:cstheme="minorEastAsia"/>
          <w:color w:val="000000" w:themeColor="text1"/>
          <w:sz w:val="28"/>
          <w:szCs w:val="28"/>
          <w:lang w:val="en-US" w:eastAsia="zh-CN"/>
          <w14:textFill>
            <w14:solidFill>
              <w14:schemeClr w14:val="tx1"/>
            </w14:solidFill>
          </w14:textFill>
        </w:rPr>
        <w:t>070</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5.3纪检联系人：孙老师028-81020036</w:t>
      </w:r>
    </w:p>
    <w:p>
      <w:pPr>
        <w:widowControl/>
        <w:jc w:val="left"/>
        <w:rPr>
          <w:rFonts w:ascii="仿宋" w:hAnsi="仿宋" w:eastAsia="仿宋" w:cstheme="minorEastAsia"/>
          <w:color w:val="000000" w:themeColor="text1"/>
          <w:sz w:val="28"/>
          <w:szCs w:val="28"/>
          <w14:textFill>
            <w14:solidFill>
              <w14:schemeClr w14:val="tx1"/>
            </w14:solidFill>
          </w14:textFill>
        </w:rPr>
      </w:pPr>
      <w:r>
        <w:rPr>
          <w:rFonts w:ascii="仿宋" w:hAnsi="仿宋" w:eastAsia="仿宋" w:cstheme="minorEastAsia"/>
          <w:b/>
          <w:bCs/>
          <w:color w:val="000000" w:themeColor="text1"/>
          <w:sz w:val="28"/>
          <w:szCs w:val="28"/>
          <w14:textFill>
            <w14:solidFill>
              <w14:schemeClr w14:val="tx1"/>
            </w14:solidFill>
          </w14:textFill>
        </w:rPr>
        <w:br w:type="page"/>
      </w:r>
    </w:p>
    <w:p>
      <w:pPr>
        <w:pStyle w:val="15"/>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color w:val="000000" w:themeColor="text1"/>
          <w:kern w:val="2"/>
          <w14:textFill>
            <w14:solidFill>
              <w14:schemeClr w14:val="tx1"/>
            </w14:solidFill>
          </w14:textFill>
        </w:rPr>
      </w:pPr>
      <w:r>
        <w:rPr>
          <w:rFonts w:hint="eastAsia" w:ascii="仿宋" w:hAnsi="仿宋" w:eastAsia="仿宋" w:cs="仿宋"/>
          <w:color w:val="000000" w:themeColor="text1"/>
          <w:kern w:val="2"/>
          <w14:textFill>
            <w14:solidFill>
              <w14:schemeClr w14:val="tx1"/>
            </w14:solidFill>
          </w14:textFill>
        </w:rPr>
        <w:t>附件1</w:t>
      </w:r>
    </w:p>
    <w:p>
      <w:pPr>
        <w:spacing w:line="360" w:lineRule="exact"/>
        <w:jc w:val="center"/>
        <w:rPr>
          <w:rFonts w:ascii="仿宋" w:hAnsi="仿宋" w:eastAsia="仿宋" w:cs="黑体"/>
          <w:b/>
          <w:color w:val="000000" w:themeColor="text1"/>
          <w:sz w:val="28"/>
          <w:szCs w:val="28"/>
          <w14:textFill>
            <w14:solidFill>
              <w14:schemeClr w14:val="tx1"/>
            </w14:solidFill>
          </w14:textFill>
        </w:rPr>
      </w:pPr>
      <w:r>
        <w:rPr>
          <w:rFonts w:hint="eastAsia" w:ascii="仿宋" w:hAnsi="仿宋" w:eastAsia="仿宋" w:cs="黑体"/>
          <w:b/>
          <w:color w:val="000000" w:themeColor="text1"/>
          <w:sz w:val="28"/>
          <w:szCs w:val="28"/>
          <w14:textFill>
            <w14:solidFill>
              <w14:schemeClr w14:val="tx1"/>
            </w14:solidFill>
          </w14:textFill>
        </w:rPr>
        <w:t>报价单</w:t>
      </w:r>
    </w:p>
    <w:p>
      <w:pPr>
        <w:spacing w:line="540" w:lineRule="exact"/>
        <w:ind w:firstLine="66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我单位作为投标人</w:t>
      </w:r>
      <w:r>
        <w:rPr>
          <w:rFonts w:ascii="仿宋" w:hAnsi="仿宋" w:eastAsia="仿宋" w:cs="仿宋_GB2312"/>
          <w:color w:val="000000" w:themeColor="text1"/>
          <w:sz w:val="28"/>
          <w:szCs w:val="28"/>
          <w14:textFill>
            <w14:solidFill>
              <w14:schemeClr w14:val="tx1"/>
            </w14:solidFill>
          </w14:textFill>
        </w:rPr>
        <w:t>,</w:t>
      </w:r>
      <w:r>
        <w:rPr>
          <w:rFonts w:hint="eastAsia" w:ascii="仿宋" w:hAnsi="仿宋" w:eastAsia="仿宋" w:cs="仿宋_GB2312"/>
          <w:color w:val="000000" w:themeColor="text1"/>
          <w:sz w:val="28"/>
          <w:szCs w:val="28"/>
          <w14:textFill>
            <w14:solidFill>
              <w14:schemeClr w14:val="tx1"/>
            </w14:solidFill>
          </w14:textFill>
        </w:rPr>
        <w:t>对此次招标活动中我方所承诺的条款已经完全明确</w:t>
      </w:r>
      <w:r>
        <w:rPr>
          <w:rFonts w:ascii="仿宋" w:hAnsi="仿宋" w:eastAsia="仿宋" w:cs="仿宋_GB2312"/>
          <w:color w:val="000000" w:themeColor="text1"/>
          <w:sz w:val="28"/>
          <w:szCs w:val="28"/>
          <w14:textFill>
            <w14:solidFill>
              <w14:schemeClr w14:val="tx1"/>
            </w14:solidFill>
          </w14:textFill>
        </w:rPr>
        <w:t>,</w:t>
      </w:r>
      <w:r>
        <w:rPr>
          <w:rFonts w:hint="eastAsia" w:ascii="仿宋" w:hAnsi="仿宋" w:eastAsia="仿宋" w:cs="仿宋_GB2312"/>
          <w:color w:val="000000" w:themeColor="text1"/>
          <w:sz w:val="28"/>
          <w:szCs w:val="28"/>
          <w14:textFill>
            <w14:solidFill>
              <w14:schemeClr w14:val="tx1"/>
            </w14:solidFill>
          </w14:textFill>
        </w:rPr>
        <w:t>也深知所承诺的事项和作出的报价可能给我方带来的风险和后果。如果我方在招标活动中有弄虚作假等违法违规行为，以及中选后因报价低或不执行承诺条款而不履约</w:t>
      </w:r>
      <w:r>
        <w:rPr>
          <w:rFonts w:ascii="仿宋" w:hAnsi="仿宋" w:eastAsia="仿宋" w:cs="仿宋_GB2312"/>
          <w:color w:val="000000" w:themeColor="text1"/>
          <w:sz w:val="28"/>
          <w:szCs w:val="28"/>
          <w14:textFill>
            <w14:solidFill>
              <w14:schemeClr w14:val="tx1"/>
            </w14:solidFill>
          </w14:textFill>
        </w:rPr>
        <w:t>,</w:t>
      </w:r>
      <w:r>
        <w:rPr>
          <w:rFonts w:hint="eastAsia" w:ascii="仿宋" w:hAnsi="仿宋" w:eastAsia="仿宋" w:cs="仿宋_GB2312"/>
          <w:color w:val="000000" w:themeColor="text1"/>
          <w:sz w:val="28"/>
          <w:szCs w:val="28"/>
          <w14:textFill>
            <w14:solidFill>
              <w14:schemeClr w14:val="tx1"/>
            </w14:solidFill>
          </w14:textFill>
        </w:rPr>
        <w:t>本单位愿承担一切责任（包括赔偿损失、取消招标及中选资格等），我单位报价为：</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1237"/>
        <w:gridCol w:w="1761"/>
        <w:gridCol w:w="1761"/>
        <w:gridCol w:w="1241"/>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62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序号</w:t>
            </w:r>
          </w:p>
        </w:tc>
        <w:tc>
          <w:tcPr>
            <w:tcW w:w="72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报价内容</w:t>
            </w:r>
          </w:p>
        </w:tc>
        <w:tc>
          <w:tcPr>
            <w:tcW w:w="103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规格</w:t>
            </w:r>
          </w:p>
        </w:tc>
        <w:tc>
          <w:tcPr>
            <w:tcW w:w="103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数量</w:t>
            </w:r>
          </w:p>
        </w:tc>
        <w:tc>
          <w:tcPr>
            <w:tcW w:w="72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单价（元）</w:t>
            </w:r>
          </w:p>
        </w:tc>
        <w:tc>
          <w:tcPr>
            <w:tcW w:w="860" w:type="pct"/>
            <w:tcBorders>
              <w:top w:val="single" w:color="auto" w:sz="4" w:space="0"/>
              <w:left w:val="single" w:color="auto" w:sz="4" w:space="0"/>
              <w:bottom w:val="single" w:color="auto" w:sz="4" w:space="0"/>
              <w:right w:val="single" w:color="auto" w:sz="4" w:space="0"/>
            </w:tcBorders>
            <w:vAlign w:val="center"/>
          </w:tcPr>
          <w:p>
            <w:pPr>
              <w:spacing w:line="360" w:lineRule="auto"/>
              <w:ind w:left="355" w:hanging="355" w:hangingChars="148"/>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20"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w:t>
            </w:r>
          </w:p>
        </w:tc>
        <w:tc>
          <w:tcPr>
            <w:tcW w:w="726"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1033"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1033"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728"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860"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按实际情况可调整表格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20"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2</w:t>
            </w:r>
          </w:p>
        </w:tc>
        <w:tc>
          <w:tcPr>
            <w:tcW w:w="726"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w:t>
            </w:r>
          </w:p>
        </w:tc>
        <w:tc>
          <w:tcPr>
            <w:tcW w:w="1033"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1033"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728"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860"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5000" w:type="pct"/>
            <w:gridSpan w:val="6"/>
            <w:tcBorders>
              <w:top w:val="single" w:color="auto" w:sz="4" w:space="0"/>
              <w:left w:val="single" w:color="auto" w:sz="4" w:space="0"/>
              <w:bottom w:val="single" w:color="auto" w:sz="4" w:space="0"/>
              <w:right w:val="single" w:color="auto" w:sz="4" w:space="0"/>
            </w:tcBorders>
          </w:tcPr>
          <w:p>
            <w:pPr>
              <w:spacing w:line="360" w:lineRule="auto"/>
              <w:ind w:left="355" w:hanging="355" w:hangingChars="148"/>
              <w:jc w:val="center"/>
              <w:rPr>
                <w:rFonts w:ascii="仿宋" w:hAnsi="仿宋" w:eastAsia="仿宋" w:cs="仿宋_GB2312"/>
                <w:color w:val="000000" w:themeColor="text1"/>
                <w:sz w:val="24"/>
                <w:u w:val="single"/>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最终报价金额</w:t>
            </w:r>
            <w:r>
              <w:rPr>
                <w:rFonts w:hint="eastAsia" w:ascii="仿宋" w:hAnsi="仿宋" w:eastAsia="仿宋" w:cs="仿宋_GB2312"/>
                <w:b/>
                <w:bCs/>
                <w:color w:val="000000" w:themeColor="text1"/>
                <w:sz w:val="24"/>
                <w14:textFill>
                  <w14:solidFill>
                    <w14:schemeClr w14:val="tx1"/>
                  </w14:solidFill>
                </w14:textFill>
              </w:rPr>
              <w:t>合计（含税）</w:t>
            </w:r>
            <w:r>
              <w:rPr>
                <w:rFonts w:hint="eastAsia" w:ascii="仿宋" w:hAnsi="仿宋" w:eastAsia="仿宋" w:cs="仿宋_GB2312"/>
                <w:color w:val="000000" w:themeColor="text1"/>
                <w:sz w:val="24"/>
                <w14:textFill>
                  <w14:solidFill>
                    <w14:schemeClr w14:val="tx1"/>
                  </w14:solidFill>
                </w14:textFill>
              </w:rPr>
              <w:t>：</w:t>
            </w:r>
            <w:r>
              <w:rPr>
                <w:rFonts w:hint="eastAsia" w:ascii="仿宋" w:hAnsi="仿宋" w:eastAsia="仿宋" w:cs="仿宋_GB2312"/>
                <w:color w:val="000000" w:themeColor="text1"/>
                <w:sz w:val="24"/>
                <w:u w:val="single"/>
                <w14:textFill>
                  <w14:solidFill>
                    <w14:schemeClr w14:val="tx1"/>
                  </w14:solidFill>
                </w14:textFill>
              </w:rPr>
              <w:t xml:space="preserve">                      元</w:t>
            </w:r>
          </w:p>
          <w:p>
            <w:pPr>
              <w:spacing w:line="360" w:lineRule="auto"/>
              <w:ind w:firstLine="1200" w:firstLineChars="5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（大写：</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仟</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佰</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拾</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万</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仟</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佰</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拾</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元</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角</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分 ）</w:t>
            </w:r>
          </w:p>
        </w:tc>
      </w:tr>
    </w:tbl>
    <w:p>
      <w:pPr>
        <w:spacing w:line="540" w:lineRule="exact"/>
        <w:ind w:firstLine="66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报价单格式可根据实际自行调整</w:t>
      </w:r>
    </w:p>
    <w:p>
      <w:pPr>
        <w:widowControl/>
        <w:jc w:val="left"/>
        <w:rPr>
          <w:rFonts w:ascii="仿宋" w:hAnsi="仿宋" w:eastAsia="仿宋" w:cs="仿宋"/>
          <w:b/>
          <w:bCs/>
          <w:color w:val="000000" w:themeColor="text1"/>
          <w:sz w:val="32"/>
          <w:szCs w:val="32"/>
          <w14:textFill>
            <w14:solidFill>
              <w14:schemeClr w14:val="tx1"/>
            </w14:solidFill>
          </w14:textFill>
        </w:rPr>
      </w:pPr>
      <w:r>
        <w:rPr>
          <w:rFonts w:ascii="仿宋" w:hAnsi="仿宋" w:eastAsia="仿宋" w:cs="仿宋"/>
          <w:color w:val="000000" w:themeColor="text1"/>
          <w14:textFill>
            <w14:solidFill>
              <w14:schemeClr w14:val="tx1"/>
            </w14:solidFill>
          </w14:textFill>
        </w:rPr>
        <w:br w:type="page"/>
      </w:r>
    </w:p>
    <w:p>
      <w:pPr>
        <w:pStyle w:val="15"/>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color w:val="000000" w:themeColor="text1"/>
          <w:kern w:val="2"/>
          <w14:textFill>
            <w14:solidFill>
              <w14:schemeClr w14:val="tx1"/>
            </w14:solidFill>
          </w14:textFill>
        </w:rPr>
      </w:pPr>
      <w:r>
        <w:rPr>
          <w:rFonts w:hint="eastAsia" w:ascii="仿宋" w:hAnsi="仿宋" w:eastAsia="仿宋" w:cs="仿宋"/>
          <w:color w:val="000000" w:themeColor="text1"/>
          <w:kern w:val="2"/>
          <w14:textFill>
            <w14:solidFill>
              <w14:schemeClr w14:val="tx1"/>
            </w14:solidFill>
          </w14:textFill>
        </w:rPr>
        <w:t>附件2</w:t>
      </w:r>
    </w:p>
    <w:p>
      <w:pPr>
        <w:pStyle w:val="15"/>
        <w:widowControl w:val="0"/>
        <w:pBdr>
          <w:bottom w:val="none" w:color="auto" w:sz="0" w:space="0"/>
        </w:pBdr>
        <w:snapToGrid w:val="0"/>
        <w:spacing w:before="0" w:beforeAutospacing="0" w:after="0" w:afterAutospacing="0" w:line="540" w:lineRule="exact"/>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kern w:val="2"/>
          <w14:textFill>
            <w14:solidFill>
              <w14:schemeClr w14:val="tx1"/>
            </w14:solidFill>
          </w14:textFill>
        </w:rPr>
        <w:t>法定代表人授权委托书</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委托人：</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地址：</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法定代表人：</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委托代理人姓名：</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委托代理人职务：</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委托代理人身份证号：</w:t>
      </w:r>
    </w:p>
    <w:p>
      <w:pPr>
        <w:snapToGrid w:val="0"/>
        <w:spacing w:line="540" w:lineRule="exact"/>
        <w:ind w:left="141" w:leftChars="67" w:firstLine="600" w:firstLineChars="25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委托人现委托上列受委托人为我公司代理人，以本公司的名义参加</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投标的相关活动，该受委托人在投标、合同谈判、合同签订、履行过程中所签署的一切文件及处理与之有关的一切事务，本委托人均予以承认，并由本委托人承担全部法律责任。</w:t>
      </w:r>
    </w:p>
    <w:p>
      <w:pPr>
        <w:snapToGrid w:val="0"/>
        <w:spacing w:line="540" w:lineRule="exact"/>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委托期限：自本授权委托书签署之日起至本授权委托书书面终止日为止。</w:t>
      </w:r>
    </w:p>
    <w:p>
      <w:pPr>
        <w:snapToGrid w:val="0"/>
        <w:spacing w:line="540" w:lineRule="exact"/>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受委托代理人无转委托权。</w:t>
      </w:r>
    </w:p>
    <w:p>
      <w:pPr>
        <w:snapToGrid w:val="0"/>
        <w:spacing w:line="54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特此委托！（附：委托代理人身份证复印件并盖章）</w:t>
      </w:r>
    </w:p>
    <w:p>
      <w:pPr>
        <w:snapToGrid w:val="0"/>
        <w:spacing w:line="540" w:lineRule="exact"/>
        <w:ind w:firstLine="480" w:firstLineChars="200"/>
        <w:rPr>
          <w:rFonts w:ascii="仿宋" w:hAnsi="仿宋" w:eastAsia="仿宋" w:cs="仿宋"/>
          <w:color w:val="000000" w:themeColor="text1"/>
          <w:sz w:val="24"/>
          <w14:textFill>
            <w14:solidFill>
              <w14:schemeClr w14:val="tx1"/>
            </w14:solidFill>
          </w14:textFill>
        </w:rPr>
      </w:pPr>
    </w:p>
    <w:p>
      <w:pPr>
        <w:snapToGrid w:val="0"/>
        <w:spacing w:line="540" w:lineRule="exact"/>
        <w:ind w:firstLine="28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委托人：           （盖章）      </w:t>
      </w:r>
    </w:p>
    <w:p>
      <w:pPr>
        <w:snapToGrid w:val="0"/>
        <w:spacing w:line="540" w:lineRule="exact"/>
        <w:ind w:firstLine="280"/>
        <w:rPr>
          <w:rFonts w:ascii="仿宋" w:hAnsi="仿宋" w:eastAsia="仿宋" w:cs="仿宋"/>
          <w:color w:val="000000" w:themeColor="text1"/>
          <w:sz w:val="24"/>
          <w14:textFill>
            <w14:solidFill>
              <w14:schemeClr w14:val="tx1"/>
            </w14:solidFill>
          </w14:textFill>
        </w:rPr>
      </w:pPr>
    </w:p>
    <w:p>
      <w:pPr>
        <w:snapToGrid w:val="0"/>
        <w:spacing w:line="540" w:lineRule="exact"/>
        <w:ind w:firstLine="28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委托代理人：       （签名）</w:t>
      </w:r>
    </w:p>
    <w:p>
      <w:pPr>
        <w:snapToGrid w:val="0"/>
        <w:spacing w:line="540" w:lineRule="exact"/>
        <w:ind w:firstLine="280"/>
        <w:rPr>
          <w:rFonts w:ascii="仿宋" w:hAnsi="仿宋" w:eastAsia="仿宋" w:cs="仿宋"/>
          <w:color w:val="000000" w:themeColor="text1"/>
          <w:sz w:val="24"/>
          <w14:textFill>
            <w14:solidFill>
              <w14:schemeClr w14:val="tx1"/>
            </w14:solidFill>
          </w14:textFill>
        </w:rPr>
      </w:pPr>
    </w:p>
    <w:p>
      <w:pPr>
        <w:snapToGrid w:val="0"/>
        <w:spacing w:line="540" w:lineRule="exact"/>
        <w:ind w:firstLine="28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法定代表人：       （签名）      </w:t>
      </w:r>
    </w:p>
    <w:p>
      <w:pPr>
        <w:snapToGrid w:val="0"/>
        <w:spacing w:line="540" w:lineRule="exact"/>
        <w:ind w:firstLine="705"/>
        <w:jc w:val="right"/>
        <w:rPr>
          <w:rFonts w:ascii="仿宋" w:hAnsi="仿宋" w:eastAsia="仿宋" w:cs="仿宋"/>
          <w:color w:val="000000" w:themeColor="text1"/>
          <w:sz w:val="24"/>
          <w14:textFill>
            <w14:solidFill>
              <w14:schemeClr w14:val="tx1"/>
            </w14:solidFill>
          </w14:textFill>
        </w:rPr>
      </w:pPr>
    </w:p>
    <w:p>
      <w:pPr>
        <w:snapToGrid w:val="0"/>
        <w:spacing w:line="540" w:lineRule="exact"/>
        <w:ind w:right="480" w:firstLine="705"/>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年    月    日</w:t>
      </w:r>
    </w:p>
    <w:p>
      <w:pPr>
        <w:jc w:val="left"/>
        <w:rPr>
          <w:rFonts w:ascii="仿宋" w:hAnsi="仿宋" w:eastAsia="仿宋"/>
          <w:color w:val="000000" w:themeColor="text1"/>
          <w:sz w:val="32"/>
          <w:szCs w:val="32"/>
          <w14:textFill>
            <w14:solidFill>
              <w14:schemeClr w14:val="tx1"/>
            </w14:solidFill>
          </w14:textFill>
        </w:rPr>
      </w:pPr>
    </w:p>
    <w:p>
      <w:pPr>
        <w:widowControl/>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br w:type="page"/>
      </w:r>
    </w:p>
    <w:p>
      <w:pPr>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附件3 </w:t>
      </w:r>
    </w:p>
    <w:p>
      <w:pPr>
        <w:widowControl/>
        <w:spacing w:line="360" w:lineRule="atLeast"/>
        <w:jc w:val="center"/>
        <w:outlineLvl w:val="1"/>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承诺函</w:t>
      </w:r>
    </w:p>
    <w:p>
      <w:pPr>
        <w:widowControl/>
        <w:spacing w:line="360" w:lineRule="atLeast"/>
        <w:jc w:val="center"/>
        <w:outlineLvl w:val="1"/>
        <w:rPr>
          <w:rFonts w:ascii="仿宋" w:hAnsi="仿宋" w:eastAsia="仿宋"/>
          <w:b/>
          <w:color w:val="000000" w:themeColor="text1"/>
          <w:sz w:val="24"/>
          <w14:textFill>
            <w14:solidFill>
              <w14:schemeClr w14:val="tx1"/>
            </w14:solidFill>
          </w14:textFill>
        </w:rPr>
      </w:pPr>
    </w:p>
    <w:p>
      <w:pPr>
        <w:widowControl/>
        <w:spacing w:line="320" w:lineRule="exact"/>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四川省精神医学中心：</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我单位作为本次采购项目的投标人，根据招标文件要求，现郑重承诺如下：</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一、具备参加本项目规定的以下条件：</w:t>
      </w:r>
    </w:p>
    <w:p>
      <w:pPr>
        <w:widowControl/>
        <w:spacing w:line="320" w:lineRule="exact"/>
        <w:ind w:firstLine="560" w:firstLineChars="200"/>
        <w:jc w:val="left"/>
        <w:outlineLvl w:val="1"/>
        <w:rPr>
          <w:rFonts w:hint="eastAsia" w:ascii="仿宋" w:hAnsi="仿宋" w:eastAsia="仿宋"/>
          <w:color w:val="000000" w:themeColor="text1"/>
          <w:sz w:val="28"/>
          <w:szCs w:val="28"/>
          <w:lang w:eastAsia="zh-CN"/>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（一）具有独立承担民事责任的能力（提供客观证明材料）；</w:t>
      </w:r>
    </w:p>
    <w:p>
      <w:pPr>
        <w:widowControl/>
        <w:spacing w:line="320" w:lineRule="exact"/>
        <w:ind w:firstLine="560" w:firstLineChars="200"/>
        <w:jc w:val="left"/>
        <w:outlineLvl w:val="1"/>
        <w:rPr>
          <w:rFonts w:hint="eastAsia" w:ascii="仿宋" w:hAnsi="仿宋" w:eastAsia="仿宋"/>
          <w:color w:val="000000" w:themeColor="text1"/>
          <w:sz w:val="28"/>
          <w:szCs w:val="28"/>
          <w:lang w:eastAsia="zh-CN"/>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（二）具有良好的商业信誉和健全的财务会计制度；</w:t>
      </w:r>
    </w:p>
    <w:p>
      <w:pPr>
        <w:widowControl/>
        <w:spacing w:line="320" w:lineRule="exact"/>
        <w:ind w:firstLine="560" w:firstLineChars="200"/>
        <w:jc w:val="left"/>
        <w:outlineLvl w:val="1"/>
        <w:rPr>
          <w:rFonts w:hint="eastAsia" w:ascii="仿宋" w:hAnsi="仿宋" w:eastAsia="仿宋"/>
          <w:color w:val="000000" w:themeColor="text1"/>
          <w:sz w:val="28"/>
          <w:szCs w:val="28"/>
          <w:lang w:eastAsia="zh-CN"/>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（三）具有履行合同所必需的设备和专业技术能力；</w:t>
      </w:r>
    </w:p>
    <w:p>
      <w:pPr>
        <w:widowControl/>
        <w:spacing w:line="320" w:lineRule="exact"/>
        <w:ind w:firstLine="560" w:firstLineChars="200"/>
        <w:jc w:val="left"/>
        <w:outlineLvl w:val="1"/>
        <w:rPr>
          <w:rFonts w:hint="eastAsia" w:ascii="仿宋" w:hAnsi="仿宋" w:eastAsia="仿宋"/>
          <w:color w:val="000000" w:themeColor="text1"/>
          <w:sz w:val="28"/>
          <w:szCs w:val="28"/>
          <w:lang w:eastAsia="zh-CN"/>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（四）有依法缴纳税收和社会保障资金的良好记录；</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（五）参加采购活动前三年内，在经营活动中没有重大违法记录；</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（六）法律、行政法规规定的其他条件；</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（七）招标文件中规定的商务要求。（提供客观证明材料）</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完全接受和满足本项目比选文件中规定的实质性要求，如对招标文件有异议，已经在招标截止时间届满前依法进行维权救济，不存在对招标文件有异议的同时又参加招标以求侥幸中选或者为实现其他非法目的的行为。</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三、参加本次招标采购活动，不存在与单位负责人为同一人或者存在直接控股、管理关系的其他供应商参与同一合同项下的采购活动的行为。</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四、参加本次招标采购活动，不存在和其他供应商在同一合同项下的采购项目中，同时委托同一个自然人、同一家庭的人员、同一单位的人员作为代理人的行为。</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五、如果有《四川省政府采购当事人诚信管理办法》（川财采</w:t>
      </w:r>
      <w:r>
        <w:rPr>
          <w:rFonts w:ascii="仿宋" w:hAnsi="仿宋" w:eastAsia="仿宋"/>
          <w:color w:val="000000" w:themeColor="text1"/>
          <w:sz w:val="28"/>
          <w:szCs w:val="28"/>
          <w14:textFill>
            <w14:solidFill>
              <w14:schemeClr w14:val="tx1"/>
            </w14:solidFill>
          </w14:textFill>
        </w:rPr>
        <w:t>[2015]33</w:t>
      </w:r>
      <w:r>
        <w:rPr>
          <w:rFonts w:hint="eastAsia" w:ascii="仿宋" w:hAnsi="仿宋" w:eastAsia="仿宋"/>
          <w:color w:val="000000" w:themeColor="text1"/>
          <w:sz w:val="28"/>
          <w:szCs w:val="28"/>
          <w14:textFill>
            <w14:solidFill>
              <w14:schemeClr w14:val="tx1"/>
            </w14:solidFill>
          </w14:textFill>
        </w:rPr>
        <w:t>号）规定的记入诚信档案的失信行为，将在参选文件中全面如实反映。</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六、参选文件中提供的能够给予招标人带来优惠、好处的任何材料资料和技术、服务、商务等响应承诺情况都是真实的、有效的、合法的。</w:t>
      </w:r>
    </w:p>
    <w:p>
      <w:pPr>
        <w:widowControl/>
        <w:spacing w:line="320" w:lineRule="exact"/>
        <w:ind w:firstLine="560" w:firstLineChars="200"/>
        <w:jc w:val="left"/>
        <w:outlineLvl w:val="1"/>
        <w:rPr>
          <w:rFonts w:ascii="仿宋" w:hAnsi="仿宋" w:eastAsia="仿宋" w:cs="楷体"/>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七、</w:t>
      </w:r>
      <w:r>
        <w:rPr>
          <w:rFonts w:hint="eastAsia" w:ascii="仿宋" w:hAnsi="仿宋" w:eastAsia="仿宋" w:cs="楷体"/>
          <w:bCs/>
          <w:color w:val="000000" w:themeColor="text1"/>
          <w:sz w:val="28"/>
          <w:szCs w:val="28"/>
          <w14:textFill>
            <w14:solidFill>
              <w14:schemeClr w14:val="tx1"/>
            </w14:solidFill>
          </w14:textFill>
        </w:rPr>
        <w:t>此次向四川省精神医学中心报价的服务/货物项目为投标人提供同类服务/相同规格型号货物的四川省内最低报价。</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本公司对上述承诺的内容事项真实性负责。如经查实上述承诺的内容事项存在虚假，我公司愿意接受以提供虚假材料谋取中选追究法律责任。</w:t>
      </w:r>
    </w:p>
    <w:p>
      <w:pPr>
        <w:widowControl/>
        <w:spacing w:line="320" w:lineRule="exact"/>
        <w:jc w:val="left"/>
        <w:outlineLvl w:val="1"/>
        <w:rPr>
          <w:rFonts w:ascii="仿宋" w:hAnsi="仿宋" w:eastAsia="仿宋"/>
          <w:color w:val="000000" w:themeColor="text1"/>
          <w:sz w:val="28"/>
          <w:szCs w:val="28"/>
          <w14:textFill>
            <w14:solidFill>
              <w14:schemeClr w14:val="tx1"/>
            </w14:solidFill>
          </w14:textFill>
        </w:rPr>
      </w:pPr>
    </w:p>
    <w:p>
      <w:pPr>
        <w:widowControl/>
        <w:spacing w:line="320" w:lineRule="exact"/>
        <w:ind w:firstLine="548" w:firstLineChars="196"/>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投标人名称：（单位公章）</w:t>
      </w:r>
    </w:p>
    <w:p>
      <w:pPr>
        <w:widowControl/>
        <w:spacing w:line="320" w:lineRule="exact"/>
        <w:ind w:firstLine="548" w:firstLineChars="196"/>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法定代表（负责人）或授权代表人（签字或加盖个人名章）：</w:t>
      </w:r>
    </w:p>
    <w:p>
      <w:pPr>
        <w:widowControl/>
        <w:spacing w:line="320" w:lineRule="exact"/>
        <w:ind w:firstLine="548" w:firstLineChars="196"/>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日期：</w:t>
      </w:r>
    </w:p>
    <w:p>
      <w:pPr>
        <w:pStyle w:val="5"/>
      </w:pPr>
      <w:r>
        <w:br w:type="page"/>
      </w:r>
    </w:p>
    <w:p>
      <w:pPr>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附件4</w:t>
      </w:r>
    </w:p>
    <w:p>
      <w:pPr>
        <w:widowControl/>
        <w:spacing w:line="360" w:lineRule="atLeast"/>
        <w:jc w:val="left"/>
        <w:outlineLvl w:val="1"/>
        <w:rPr>
          <w:rFonts w:ascii="仿宋" w:hAnsi="仿宋" w:eastAsia="仿宋"/>
          <w:b/>
          <w:color w:val="000000" w:themeColor="text1"/>
          <w:sz w:val="24"/>
          <w14:textFill>
            <w14:solidFill>
              <w14:schemeClr w14:val="tx1"/>
            </w14:solidFill>
          </w14:textFill>
        </w:rPr>
      </w:pPr>
    </w:p>
    <w:p>
      <w:pPr>
        <w:pStyle w:val="7"/>
        <w:jc w:val="center"/>
        <w:rPr>
          <w:rFonts w:ascii="仿宋" w:hAnsi="仿宋" w:eastAsia="仿宋"/>
          <w:b/>
          <w:color w:val="000000" w:themeColor="text1"/>
          <w:sz w:val="36"/>
          <w:szCs w:val="32"/>
          <w14:textFill>
            <w14:solidFill>
              <w14:schemeClr w14:val="tx1"/>
            </w14:solidFill>
          </w14:textFill>
        </w:rPr>
      </w:pPr>
      <w:r>
        <w:rPr>
          <w:rFonts w:hint="eastAsia" w:ascii="仿宋" w:hAnsi="仿宋" w:eastAsia="仿宋"/>
          <w:b/>
          <w:color w:val="000000" w:themeColor="text1"/>
          <w:sz w:val="36"/>
          <w:szCs w:val="32"/>
          <w:lang w:val="en-US" w:eastAsia="zh-CN"/>
          <w14:textFill>
            <w14:solidFill>
              <w14:schemeClr w14:val="tx1"/>
            </w14:solidFill>
          </w14:textFill>
        </w:rPr>
        <w:t>培训</w:t>
      </w:r>
      <w:r>
        <w:rPr>
          <w:rFonts w:hint="eastAsia" w:ascii="仿宋" w:hAnsi="仿宋" w:eastAsia="仿宋"/>
          <w:b/>
          <w:color w:val="000000" w:themeColor="text1"/>
          <w:sz w:val="36"/>
          <w:szCs w:val="32"/>
          <w14:textFill>
            <w14:solidFill>
              <w14:schemeClr w14:val="tx1"/>
            </w14:solidFill>
          </w14:textFill>
        </w:rPr>
        <w:t>方案</w:t>
      </w:r>
    </w:p>
    <w:p>
      <w:pPr>
        <w:pStyle w:val="7"/>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（投标人详细阐述</w:t>
      </w:r>
      <w:r>
        <w:rPr>
          <w:rFonts w:hint="eastAsia" w:ascii="仿宋" w:hAnsi="仿宋" w:eastAsia="仿宋"/>
          <w:color w:val="000000" w:themeColor="text1"/>
          <w:sz w:val="28"/>
          <w:szCs w:val="28"/>
          <w:lang w:val="en-US" w:eastAsia="zh-CN"/>
          <w14:textFill>
            <w14:solidFill>
              <w14:schemeClr w14:val="tx1"/>
            </w14:solidFill>
          </w14:textFill>
        </w:rPr>
        <w:t>培训</w:t>
      </w:r>
      <w:r>
        <w:rPr>
          <w:rFonts w:hint="eastAsia" w:ascii="仿宋" w:hAnsi="仿宋" w:eastAsia="仿宋"/>
          <w:color w:val="000000" w:themeColor="text1"/>
          <w:sz w:val="28"/>
          <w:szCs w:val="28"/>
          <w14:textFill>
            <w14:solidFill>
              <w14:schemeClr w14:val="tx1"/>
            </w14:solidFill>
          </w14:textFill>
        </w:rPr>
        <w:t>方案</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w:t>
      </w:r>
    </w:p>
    <w:p>
      <w:pPr>
        <w:rPr>
          <w:rFonts w:ascii="仿宋" w:hAnsi="仿宋" w:eastAsia="仿宋"/>
          <w:b/>
          <w:color w:val="000000" w:themeColor="text1"/>
          <w:sz w:val="28"/>
          <w:szCs w:val="28"/>
          <w:lang w:val="zh-CN"/>
          <w14:textFill>
            <w14:solidFill>
              <w14:schemeClr w14:val="tx1"/>
            </w14:solidFill>
          </w14:textFill>
        </w:rPr>
      </w:pPr>
    </w:p>
    <w:p>
      <w:pPr>
        <w:jc w:val="center"/>
        <w:rPr>
          <w:rFonts w:ascii="仿宋" w:hAnsi="仿宋" w:eastAsia="仿宋"/>
          <w:b/>
          <w:bCs/>
          <w:color w:val="000000" w:themeColor="text1"/>
          <w:sz w:val="28"/>
          <w:szCs w:val="28"/>
          <w14:textFill>
            <w14:solidFill>
              <w14:schemeClr w14:val="tx1"/>
            </w14:solidFill>
          </w14:textFill>
        </w:rPr>
      </w:pPr>
    </w:p>
    <w:p>
      <w:pPr>
        <w:pStyle w:val="7"/>
        <w:rPr>
          <w:rFonts w:ascii="仿宋" w:hAnsi="仿宋" w:eastAsia="仿宋"/>
          <w:color w:val="000000" w:themeColor="text1"/>
          <w:sz w:val="28"/>
          <w:szCs w:val="28"/>
          <w14:textFill>
            <w14:solidFill>
              <w14:schemeClr w14:val="tx1"/>
            </w14:solidFill>
          </w14:textFill>
        </w:rPr>
      </w:pPr>
    </w:p>
    <w:p>
      <w:pPr>
        <w:pStyle w:val="7"/>
        <w:rPr>
          <w:rFonts w:ascii="仿宋" w:hAnsi="仿宋" w:eastAsia="仿宋"/>
          <w:color w:val="000000" w:themeColor="text1"/>
          <w:sz w:val="28"/>
          <w:szCs w:val="28"/>
          <w14:textFill>
            <w14:solidFill>
              <w14:schemeClr w14:val="tx1"/>
            </w14:solidFill>
          </w14:textFill>
        </w:rPr>
      </w:pPr>
    </w:p>
    <w:p>
      <w:pPr>
        <w:pStyle w:val="7"/>
        <w:rPr>
          <w:rFonts w:ascii="仿宋" w:hAnsi="仿宋" w:eastAsia="仿宋"/>
          <w:color w:val="000000" w:themeColor="text1"/>
          <w:sz w:val="28"/>
          <w:szCs w:val="28"/>
          <w14:textFill>
            <w14:solidFill>
              <w14:schemeClr w14:val="tx1"/>
            </w14:solidFill>
          </w14:textFill>
        </w:rPr>
      </w:pPr>
    </w:p>
    <w:p>
      <w:pPr>
        <w:pStyle w:val="7"/>
        <w:rPr>
          <w:rFonts w:ascii="仿宋" w:hAnsi="仿宋" w:eastAsia="仿宋"/>
          <w:color w:val="000000" w:themeColor="text1"/>
          <w:sz w:val="28"/>
          <w:szCs w:val="28"/>
          <w14:textFill>
            <w14:solidFill>
              <w14:schemeClr w14:val="tx1"/>
            </w14:solidFill>
          </w14:textFill>
        </w:rPr>
      </w:pPr>
    </w:p>
    <w:p>
      <w:pPr>
        <w:pStyle w:val="7"/>
        <w:rPr>
          <w:rFonts w:ascii="仿宋" w:hAnsi="仿宋" w:eastAsia="仿宋"/>
          <w:color w:val="000000" w:themeColor="text1"/>
          <w:sz w:val="28"/>
          <w:szCs w:val="28"/>
          <w14:textFill>
            <w14:solidFill>
              <w14:schemeClr w14:val="tx1"/>
            </w14:solidFill>
          </w14:textFill>
        </w:rPr>
      </w:pPr>
    </w:p>
    <w:p>
      <w:pPr>
        <w:pStyle w:val="7"/>
        <w:rPr>
          <w:rFonts w:ascii="仿宋" w:hAnsi="仿宋" w:eastAsia="仿宋"/>
          <w:color w:val="000000" w:themeColor="text1"/>
          <w:sz w:val="28"/>
          <w:szCs w:val="28"/>
          <w14:textFill>
            <w14:solidFill>
              <w14:schemeClr w14:val="tx1"/>
            </w14:solidFill>
          </w14:textFill>
        </w:rPr>
      </w:pPr>
    </w:p>
    <w:p>
      <w:pPr>
        <w:pStyle w:val="7"/>
        <w:ind w:left="0" w:leftChars="0"/>
        <w:rPr>
          <w:rFonts w:ascii="仿宋" w:hAnsi="仿宋" w:eastAsia="仿宋"/>
          <w:color w:val="000000" w:themeColor="text1"/>
          <w:sz w:val="28"/>
          <w:szCs w:val="28"/>
          <w14:textFill>
            <w14:solidFill>
              <w14:schemeClr w14:val="tx1"/>
            </w14:solidFill>
          </w14:textFill>
        </w:rPr>
      </w:pPr>
    </w:p>
    <w:p>
      <w:pPr>
        <w:pStyle w:val="7"/>
        <w:ind w:left="0" w:leftChars="0"/>
        <w:rPr>
          <w:rFonts w:ascii="仿宋" w:hAnsi="仿宋" w:eastAsia="仿宋"/>
          <w:color w:val="000000" w:themeColor="text1"/>
          <w:sz w:val="28"/>
          <w:szCs w:val="28"/>
          <w14:textFill>
            <w14:solidFill>
              <w14:schemeClr w14:val="tx1"/>
            </w14:solidFill>
          </w14:textFill>
        </w:rPr>
      </w:pPr>
    </w:p>
    <w:p>
      <w:pPr>
        <w:pStyle w:val="7"/>
        <w:ind w:firstLine="840" w:firstLineChars="3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投标人名称：（盖章）</w:t>
      </w:r>
    </w:p>
    <w:p>
      <w:pPr>
        <w:pStyle w:val="7"/>
        <w:ind w:firstLine="840" w:firstLineChars="3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法定代表人（负责人）或授权代表人（签字或盖章）：</w:t>
      </w:r>
    </w:p>
    <w:p>
      <w:pPr>
        <w:pStyle w:val="7"/>
        <w:ind w:firstLine="840" w:firstLineChars="3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参选日期</w:t>
      </w:r>
      <w:r>
        <w:rPr>
          <w:rFonts w:ascii="仿宋" w:hAnsi="仿宋" w:eastAsia="仿宋"/>
          <w:color w:val="000000" w:themeColor="text1"/>
          <w:sz w:val="28"/>
          <w:szCs w:val="28"/>
          <w14:textFill>
            <w14:solidFill>
              <w14:schemeClr w14:val="tx1"/>
            </w14:solidFill>
          </w14:textFill>
        </w:rPr>
        <w:t>:</w:t>
      </w:r>
    </w:p>
    <w:p>
      <w:pPr>
        <w:pStyle w:val="5"/>
        <w:rPr>
          <w:rFonts w:cs="Times New Roman"/>
          <w:lang w:val="zh-CN"/>
        </w:rPr>
      </w:pPr>
      <w:r>
        <w:br w:type="page"/>
      </w:r>
    </w:p>
    <w:p>
      <w:pPr>
        <w:pStyle w:val="7"/>
        <w:ind w:firstLine="840" w:firstLineChars="300"/>
        <w:rPr>
          <w:rFonts w:ascii="仿宋" w:hAnsi="仿宋" w:eastAsia="仿宋"/>
          <w:color w:val="000000" w:themeColor="text1"/>
          <w:sz w:val="28"/>
          <w:szCs w:val="28"/>
          <w14:textFill>
            <w14:solidFill>
              <w14:schemeClr w14:val="tx1"/>
            </w14:solidFill>
          </w14:textFill>
        </w:rPr>
      </w:pPr>
    </w:p>
    <w:p>
      <w:pPr>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附件5</w:t>
      </w:r>
    </w:p>
    <w:tbl>
      <w:tblPr>
        <w:tblStyle w:val="11"/>
        <w:tblpPr w:leftFromText="180" w:rightFromText="180" w:vertAnchor="text" w:horzAnchor="margin" w:tblpXSpec="center" w:tblpY="198"/>
        <w:tblOverlap w:val="never"/>
        <w:tblW w:w="10769" w:type="dxa"/>
        <w:tblInd w:w="0" w:type="dxa"/>
        <w:tblLayout w:type="autofit"/>
        <w:tblCellMar>
          <w:top w:w="0" w:type="dxa"/>
          <w:left w:w="0" w:type="dxa"/>
          <w:bottom w:w="0" w:type="dxa"/>
          <w:right w:w="0" w:type="dxa"/>
        </w:tblCellMar>
      </w:tblPr>
      <w:tblGrid>
        <w:gridCol w:w="495"/>
        <w:gridCol w:w="928"/>
        <w:gridCol w:w="6325"/>
        <w:gridCol w:w="3021"/>
      </w:tblGrid>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仿宋" w:hAnsi="仿宋" w:eastAsia="仿宋" w:cs="宋体"/>
                <w:b/>
                <w:color w:val="000000" w:themeColor="text1"/>
                <w:kern w:val="0"/>
                <w:sz w:val="22"/>
                <w:szCs w:val="22"/>
                <w14:textFill>
                  <w14:solidFill>
                    <w14:schemeClr w14:val="tx1"/>
                  </w14:solidFill>
                </w14:textFill>
              </w:rPr>
            </w:pPr>
          </w:p>
        </w:tc>
        <w:tc>
          <w:tcPr>
            <w:tcW w:w="1027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b/>
                <w:color w:val="000000" w:themeColor="text1"/>
                <w:sz w:val="22"/>
                <w:szCs w:val="22"/>
                <w14:textFill>
                  <w14:solidFill>
                    <w14:schemeClr w14:val="tx1"/>
                  </w14:solidFill>
                </w14:textFill>
              </w:rPr>
            </w:pPr>
            <w:r>
              <w:rPr>
                <w:rFonts w:hint="eastAsia" w:ascii="仿宋" w:hAnsi="仿宋" w:eastAsia="仿宋" w:cs="宋体"/>
                <w:b/>
                <w:color w:val="000000" w:themeColor="text1"/>
                <w:kern w:val="0"/>
                <w:sz w:val="22"/>
                <w:szCs w:val="22"/>
                <w14:textFill>
                  <w14:solidFill>
                    <w14:schemeClr w14:val="tx1"/>
                  </w14:solidFill>
                </w14:textFill>
              </w:rPr>
              <w:t>评标要素索引表</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b/>
                <w:color w:val="000000" w:themeColor="text1"/>
                <w:sz w:val="22"/>
                <w:szCs w:val="22"/>
                <w14:textFill>
                  <w14:solidFill>
                    <w14:schemeClr w14:val="tx1"/>
                  </w14:solidFill>
                </w14:textFill>
              </w:rPr>
            </w:pPr>
            <w:r>
              <w:rPr>
                <w:rFonts w:hint="eastAsia" w:ascii="仿宋" w:hAnsi="仿宋" w:eastAsia="仿宋" w:cs="宋体"/>
                <w:b/>
                <w:color w:val="000000" w:themeColor="text1"/>
                <w:kern w:val="0"/>
                <w:sz w:val="22"/>
                <w:szCs w:val="22"/>
                <w14:textFill>
                  <w14:solidFill>
                    <w14:schemeClr w14:val="tx1"/>
                  </w14:solidFill>
                </w14:textFill>
              </w:rPr>
              <w:t>序号</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b/>
                <w:color w:val="000000" w:themeColor="text1"/>
                <w:sz w:val="22"/>
                <w:szCs w:val="22"/>
                <w14:textFill>
                  <w14:solidFill>
                    <w14:schemeClr w14:val="tx1"/>
                  </w14:solidFill>
                </w14:textFill>
              </w:rPr>
            </w:pPr>
            <w:r>
              <w:rPr>
                <w:rFonts w:hint="eastAsia" w:ascii="仿宋" w:hAnsi="仿宋" w:eastAsia="仿宋" w:cs="宋体"/>
                <w:b/>
                <w:color w:val="000000" w:themeColor="text1"/>
                <w:sz w:val="22"/>
                <w:szCs w:val="22"/>
                <w14:textFill>
                  <w14:solidFill>
                    <w14:schemeClr w14:val="tx1"/>
                  </w14:solidFill>
                </w14:textFill>
              </w:rPr>
              <w:t>审查</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b/>
                <w:color w:val="000000" w:themeColor="text1"/>
                <w:sz w:val="22"/>
                <w:szCs w:val="22"/>
                <w14:textFill>
                  <w14:solidFill>
                    <w14:schemeClr w14:val="tx1"/>
                  </w14:solidFill>
                </w14:textFill>
              </w:rPr>
            </w:pPr>
            <w:r>
              <w:rPr>
                <w:rFonts w:hint="eastAsia" w:ascii="仿宋" w:hAnsi="仿宋" w:eastAsia="仿宋" w:cs="宋体"/>
                <w:b/>
                <w:color w:val="000000" w:themeColor="text1"/>
                <w:kern w:val="0"/>
                <w:sz w:val="22"/>
                <w:szCs w:val="22"/>
                <w14:textFill>
                  <w14:solidFill>
                    <w14:schemeClr w14:val="tx1"/>
                  </w14:solidFill>
                </w14:textFill>
              </w:rPr>
              <w:t>评审要素</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b/>
                <w:color w:val="000000" w:themeColor="text1"/>
                <w:sz w:val="22"/>
                <w:szCs w:val="22"/>
                <w14:textFill>
                  <w14:solidFill>
                    <w14:schemeClr w14:val="tx1"/>
                  </w14:solidFill>
                </w14:textFill>
              </w:rPr>
            </w:pPr>
            <w:r>
              <w:rPr>
                <w:rFonts w:hint="eastAsia" w:ascii="仿宋" w:hAnsi="仿宋" w:eastAsia="仿宋" w:cs="宋体"/>
                <w:b/>
                <w:color w:val="000000" w:themeColor="text1"/>
                <w:kern w:val="0"/>
                <w:sz w:val="22"/>
                <w:szCs w:val="22"/>
                <w14:textFill>
                  <w14:solidFill>
                    <w14:schemeClr w14:val="tx1"/>
                  </w14:solidFill>
                </w14:textFill>
              </w:rPr>
              <w:t>投标文件页码范围</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1</w:t>
            </w:r>
          </w:p>
        </w:tc>
        <w:tc>
          <w:tcPr>
            <w:tcW w:w="928"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sz w:val="22"/>
                <w:szCs w:val="22"/>
                <w14:textFill>
                  <w14:solidFill>
                    <w14:schemeClr w14:val="tx1"/>
                  </w14:solidFill>
                </w14:textFill>
              </w:rPr>
              <w:t>资格</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宋体"/>
                <w:color w:val="000000" w:themeColor="text1"/>
                <w:kern w:val="0"/>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报价单</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2</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法定代表人委托授权书</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3</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rPr>
              <w:t>法定代表人委托授权书</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4</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rPr>
              <w:t>委托人身份证复印件</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5</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rPr>
              <w:t>公司营业执照</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6</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rPr>
              <w:t>体现健全的财务制度的证明材料</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7</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rPr>
              <w:t>依法缴纳税收和社会保障资金的证明材料或承诺函</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kern w:val="0"/>
                <w:sz w:val="22"/>
                <w:szCs w:val="22"/>
                <w14:textFill>
                  <w14:solidFill>
                    <w14:schemeClr w14:val="tx1"/>
                  </w14:solidFill>
                </w14:textFill>
              </w:rPr>
            </w:pPr>
          </w:p>
        </w:tc>
        <w:tc>
          <w:tcPr>
            <w:tcW w:w="928" w:type="dxa"/>
            <w:tcBorders>
              <w:left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 w:hAnsi="仿宋" w:eastAsia="仿宋" w:cs="宋体"/>
                <w:color w:val="000000" w:themeColor="text1"/>
                <w:kern w:val="0"/>
                <w:sz w:val="22"/>
                <w:szCs w:val="22"/>
                <w14:textFill>
                  <w14:solidFill>
                    <w14:schemeClr w14:val="tx1"/>
                  </w14:solidFill>
                </w14:textFill>
              </w:rPr>
            </w:pPr>
            <w:r>
              <w:rPr>
                <w:rFonts w:hint="eastAsia" w:ascii="仿宋" w:hAnsi="仿宋" w:eastAsia="仿宋"/>
              </w:rPr>
              <w:t>参加采购活动前三年内，在经营活动中没有重大违法记录承诺函</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sz w:val="22"/>
                <w:szCs w:val="22"/>
                <w14:textFill>
                  <w14:solidFill>
                    <w14:schemeClr w14:val="tx1"/>
                  </w14:solidFill>
                </w14:textFill>
              </w:rPr>
              <w:t>8</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sz w:val="22"/>
                <w:szCs w:val="22"/>
                <w14:textFill>
                  <w14:solidFill>
                    <w14:schemeClr w14:val="tx1"/>
                  </w14:solidFill>
                </w14:textFill>
              </w:rPr>
              <w:t>技术</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技术响应文件</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sz w:val="22"/>
                <w:szCs w:val="22"/>
                <w14:textFill>
                  <w14:solidFill>
                    <w14:schemeClr w14:val="tx1"/>
                  </w14:solidFill>
                </w14:textFill>
              </w:rPr>
              <w:t>9</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sz w:val="22"/>
                <w:szCs w:val="22"/>
                <w14:textFill>
                  <w14:solidFill>
                    <w14:schemeClr w14:val="tx1"/>
                  </w14:solidFill>
                </w14:textFill>
              </w:rPr>
              <w:t>商务</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宋体"/>
                <w:color w:val="000000" w:themeColor="text1"/>
                <w:kern w:val="0"/>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商务响应文件</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bl>
    <w:p>
      <w:pPr>
        <w:jc w:val="left"/>
        <w:rPr>
          <w:rFonts w:ascii="仿宋" w:hAnsi="仿宋" w:eastAsia="仿宋"/>
          <w:color w:val="000000" w:themeColor="text1"/>
          <w:sz w:val="32"/>
          <w:szCs w:val="32"/>
          <w14:textFill>
            <w14:solidFill>
              <w14:schemeClr w14:val="tx1"/>
            </w14:solidFill>
          </w14:textFill>
        </w:rPr>
      </w:pPr>
    </w:p>
    <w:p>
      <w:pPr>
        <w:widowControl/>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br w:type="page"/>
      </w:r>
    </w:p>
    <w:p>
      <w:pPr>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附件6：技术参数响应文件</w:t>
      </w:r>
    </w:p>
    <w:p>
      <w:pPr>
        <w:rPr>
          <w:rFonts w:ascii="仿宋" w:hAnsi="仿宋" w:eastAsia="仿宋"/>
          <w:color w:val="000000" w:themeColor="text1"/>
          <w:sz w:val="28"/>
          <w:szCs w:val="28"/>
          <w14:textFill>
            <w14:solidFill>
              <w14:schemeClr w14:val="tx1"/>
            </w14:solidFill>
          </w14:textFill>
        </w:rPr>
      </w:pPr>
    </w:p>
    <w:p>
      <w:pPr>
        <w:jc w:val="left"/>
        <w:rPr>
          <w:rFonts w:ascii="仿宋" w:hAnsi="仿宋" w:eastAsia="仿宋"/>
          <w:color w:val="000000" w:themeColor="text1"/>
          <w:sz w:val="32"/>
          <w:szCs w:val="32"/>
          <w14:textFill>
            <w14:solidFill>
              <w14:schemeClr w14:val="tx1"/>
            </w14:solidFill>
          </w14:textFill>
        </w:rPr>
      </w:pPr>
    </w:p>
    <w:tbl>
      <w:tblPr>
        <w:tblStyle w:val="11"/>
        <w:tblW w:w="10207" w:type="dxa"/>
        <w:tblInd w:w="-743" w:type="dxa"/>
        <w:tblLayout w:type="autofit"/>
        <w:tblCellMar>
          <w:top w:w="0" w:type="dxa"/>
          <w:left w:w="108" w:type="dxa"/>
          <w:bottom w:w="0" w:type="dxa"/>
          <w:right w:w="108" w:type="dxa"/>
        </w:tblCellMar>
      </w:tblPr>
      <w:tblGrid>
        <w:gridCol w:w="1135"/>
        <w:gridCol w:w="4961"/>
        <w:gridCol w:w="2126"/>
        <w:gridCol w:w="1985"/>
      </w:tblGrid>
      <w:tr>
        <w:tblPrEx>
          <w:tblCellMar>
            <w:top w:w="0" w:type="dxa"/>
            <w:left w:w="108" w:type="dxa"/>
            <w:bottom w:w="0" w:type="dxa"/>
            <w:right w:w="108" w:type="dxa"/>
          </w:tblCellMar>
        </w:tblPrEx>
        <w:trPr>
          <w:trHeight w:val="651" w:hRule="atLeast"/>
        </w:trPr>
        <w:tc>
          <w:tcPr>
            <w:tcW w:w="1020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themeColor="text1"/>
                <w:kern w:val="0"/>
                <w:sz w:val="24"/>
                <w14:textFill>
                  <w14:solidFill>
                    <w14:schemeClr w14:val="tx1"/>
                  </w14:solidFill>
                </w14:textFill>
              </w:rPr>
            </w:pPr>
            <w:r>
              <w:rPr>
                <w:rFonts w:hint="eastAsia" w:ascii="仿宋" w:hAnsi="仿宋" w:eastAsia="仿宋" w:cs="宋体"/>
                <w:b/>
                <w:bCs/>
                <w:color w:val="000000" w:themeColor="text1"/>
                <w:kern w:val="0"/>
                <w:sz w:val="24"/>
                <w14:textFill>
                  <w14:solidFill>
                    <w14:schemeClr w14:val="tx1"/>
                  </w14:solidFill>
                </w14:textFill>
              </w:rPr>
              <w:t>技术参数响应文件（格式要求）</w:t>
            </w:r>
          </w:p>
        </w:tc>
      </w:tr>
      <w:tr>
        <w:tblPrEx>
          <w:tblCellMar>
            <w:top w:w="0" w:type="dxa"/>
            <w:left w:w="108" w:type="dxa"/>
            <w:bottom w:w="0" w:type="dxa"/>
            <w:right w:w="108" w:type="dxa"/>
          </w:tblCellMar>
        </w:tblPrEx>
        <w:trPr>
          <w:trHeight w:val="315" w:hRule="atLeast"/>
        </w:trPr>
        <w:tc>
          <w:tcPr>
            <w:tcW w:w="113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themeColor="text1"/>
                <w:kern w:val="0"/>
                <w:szCs w:val="21"/>
                <w14:textFill>
                  <w14:solidFill>
                    <w14:schemeClr w14:val="tx1"/>
                  </w14:solidFill>
                </w14:textFill>
              </w:rPr>
            </w:pPr>
            <w:r>
              <w:rPr>
                <w:rFonts w:hint="eastAsia" w:ascii="仿宋" w:hAnsi="仿宋" w:eastAsia="仿宋" w:cs="宋体"/>
                <w:b/>
                <w:bCs/>
                <w:color w:val="000000" w:themeColor="text1"/>
                <w:kern w:val="0"/>
                <w:szCs w:val="21"/>
                <w14:textFill>
                  <w14:solidFill>
                    <w14:schemeClr w14:val="tx1"/>
                  </w14:solidFill>
                </w14:textFill>
              </w:rPr>
              <w:t>/</w:t>
            </w:r>
          </w:p>
        </w:tc>
        <w:tc>
          <w:tcPr>
            <w:tcW w:w="496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themeColor="text1"/>
                <w:kern w:val="0"/>
                <w:szCs w:val="21"/>
                <w14:textFill>
                  <w14:solidFill>
                    <w14:schemeClr w14:val="tx1"/>
                  </w14:solidFill>
                </w14:textFill>
              </w:rPr>
            </w:pPr>
            <w:r>
              <w:rPr>
                <w:rFonts w:hint="eastAsia" w:ascii="仿宋" w:hAnsi="仿宋" w:eastAsia="仿宋" w:cs="宋体"/>
                <w:b/>
                <w:bCs/>
                <w:color w:val="000000" w:themeColor="text1"/>
                <w:kern w:val="0"/>
                <w:szCs w:val="21"/>
                <w14:textFill>
                  <w14:solidFill>
                    <w14:schemeClr w14:val="tx1"/>
                  </w14:solidFill>
                </w14:textFill>
              </w:rPr>
              <w:t>技术参数</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themeColor="text1"/>
                <w:kern w:val="0"/>
                <w:sz w:val="22"/>
                <w:szCs w:val="22"/>
                <w14:textFill>
                  <w14:solidFill>
                    <w14:schemeClr w14:val="tx1"/>
                  </w14:solidFill>
                </w14:textFill>
              </w:rPr>
            </w:pPr>
            <w:r>
              <w:rPr>
                <w:rFonts w:hint="eastAsia" w:ascii="仿宋" w:hAnsi="仿宋" w:eastAsia="仿宋" w:cs="宋体"/>
                <w:b/>
                <w:bCs/>
                <w:color w:val="000000" w:themeColor="text1"/>
                <w:kern w:val="0"/>
                <w:sz w:val="22"/>
                <w:szCs w:val="22"/>
                <w14:textFill>
                  <w14:solidFill>
                    <w14:schemeClr w14:val="tx1"/>
                  </w14:solidFill>
                </w14:textFill>
              </w:rPr>
              <w:t>投标参数</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themeColor="text1"/>
                <w:kern w:val="0"/>
                <w:sz w:val="22"/>
                <w:szCs w:val="22"/>
                <w14:textFill>
                  <w14:solidFill>
                    <w14:schemeClr w14:val="tx1"/>
                  </w14:solidFill>
                </w14:textFill>
              </w:rPr>
            </w:pPr>
            <w:r>
              <w:rPr>
                <w:rFonts w:hint="eastAsia" w:ascii="仿宋" w:hAnsi="仿宋" w:eastAsia="仿宋" w:cs="宋体"/>
                <w:b/>
                <w:bCs/>
                <w:color w:val="000000" w:themeColor="text1"/>
                <w:kern w:val="0"/>
                <w:sz w:val="22"/>
                <w:szCs w:val="22"/>
                <w14:textFill>
                  <w14:solidFill>
                    <w14:schemeClr w14:val="tx1"/>
                  </w14:solidFill>
                </w14:textFill>
              </w:rPr>
              <w:t>是否响应</w:t>
            </w:r>
          </w:p>
        </w:tc>
      </w:tr>
      <w:tr>
        <w:tblPrEx>
          <w:tblCellMar>
            <w:top w:w="0" w:type="dxa"/>
            <w:left w:w="108" w:type="dxa"/>
            <w:bottom w:w="0" w:type="dxa"/>
            <w:right w:w="108" w:type="dxa"/>
          </w:tblCellMar>
        </w:tblPrEx>
        <w:trPr>
          <w:trHeight w:val="645" w:hRule="atLeast"/>
        </w:trPr>
        <w:tc>
          <w:tcPr>
            <w:tcW w:w="113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w:t>
            </w:r>
          </w:p>
        </w:tc>
        <w:tc>
          <w:tcPr>
            <w:tcW w:w="4961"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XX</w:t>
            </w:r>
          </w:p>
        </w:tc>
        <w:tc>
          <w:tcPr>
            <w:tcW w:w="2126" w:type="dxa"/>
            <w:tcBorders>
              <w:top w:val="nil"/>
              <w:left w:val="nil"/>
              <w:bottom w:val="single" w:color="auto" w:sz="4" w:space="0"/>
              <w:right w:val="single" w:color="auto" w:sz="4" w:space="0"/>
            </w:tcBorders>
            <w:shd w:val="clear" w:color="000000" w:fill="FFFFFF"/>
            <w:noWrap/>
            <w:vAlign w:val="center"/>
          </w:tcPr>
          <w:p>
            <w:pPr>
              <w:widowControl/>
              <w:jc w:val="left"/>
              <w:rPr>
                <w:rFonts w:ascii="仿宋" w:hAnsi="仿宋" w:eastAsia="仿宋" w:cs="宋体"/>
                <w:color w:val="000000" w:themeColor="text1"/>
                <w:kern w:val="0"/>
                <w:szCs w:val="21"/>
                <w14:textFill>
                  <w14:solidFill>
                    <w14:schemeClr w14:val="tx1"/>
                  </w14:solidFill>
                </w14:textFill>
              </w:rPr>
            </w:pPr>
          </w:p>
        </w:tc>
        <w:tc>
          <w:tcPr>
            <w:tcW w:w="1985" w:type="dxa"/>
            <w:tcBorders>
              <w:top w:val="nil"/>
              <w:left w:val="nil"/>
              <w:bottom w:val="single" w:color="auto" w:sz="4" w:space="0"/>
              <w:right w:val="single" w:color="auto" w:sz="4" w:space="0"/>
            </w:tcBorders>
            <w:shd w:val="clear" w:color="000000" w:fill="FFFFFF"/>
            <w:noWrap/>
            <w:vAlign w:val="center"/>
          </w:tcPr>
          <w:p>
            <w:pPr>
              <w:widowControl/>
              <w:jc w:val="left"/>
              <w:rPr>
                <w:rFonts w:ascii="仿宋" w:hAnsi="仿宋" w:eastAsia="仿宋"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645"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themeColor="text1"/>
                <w:kern w:val="0"/>
                <w:szCs w:val="21"/>
                <w14:textFill>
                  <w14:solidFill>
                    <w14:schemeClr w14:val="tx1"/>
                  </w14:solidFill>
                </w14:textFill>
              </w:rPr>
            </w:pPr>
          </w:p>
        </w:tc>
        <w:tc>
          <w:tcPr>
            <w:tcW w:w="4961" w:type="dxa"/>
            <w:tcBorders>
              <w:top w:val="nil"/>
              <w:left w:val="nil"/>
              <w:bottom w:val="single" w:color="auto" w:sz="4" w:space="0"/>
              <w:right w:val="single" w:color="auto" w:sz="4" w:space="0"/>
            </w:tcBorders>
            <w:shd w:val="clear" w:color="000000" w:fill="FFFFFF"/>
            <w:vAlign w:val="center"/>
          </w:tcPr>
          <w:p>
            <w:pPr>
              <w:widowControl/>
              <w:rPr>
                <w:rFonts w:ascii="仿宋" w:hAnsi="仿宋" w:eastAsia="仿宋" w:cs="宋体"/>
                <w:color w:val="000000" w:themeColor="text1"/>
                <w:kern w:val="0"/>
                <w:szCs w:val="21"/>
                <w14:textFill>
                  <w14:solidFill>
                    <w14:schemeClr w14:val="tx1"/>
                  </w14:solidFill>
                </w14:textFill>
              </w:rPr>
            </w:pPr>
            <w:r>
              <w:rPr>
                <w:rFonts w:ascii="仿宋" w:hAnsi="仿宋" w:eastAsia="仿宋" w:cs="宋体"/>
                <w:color w:val="000000" w:themeColor="text1"/>
                <w:kern w:val="0"/>
                <w:szCs w:val="21"/>
                <w14:textFill>
                  <w14:solidFill>
                    <w14:schemeClr w14:val="tx1"/>
                  </w14:solidFill>
                </w14:textFill>
              </w:rPr>
              <w:t>…</w:t>
            </w:r>
          </w:p>
        </w:tc>
        <w:tc>
          <w:tcPr>
            <w:tcW w:w="2126" w:type="dxa"/>
            <w:tcBorders>
              <w:top w:val="nil"/>
              <w:left w:val="nil"/>
              <w:bottom w:val="single" w:color="auto" w:sz="4" w:space="0"/>
              <w:right w:val="single" w:color="auto" w:sz="4" w:space="0"/>
            </w:tcBorders>
            <w:shd w:val="clear" w:color="000000" w:fill="FFFFFF"/>
            <w:noWrap/>
            <w:vAlign w:val="center"/>
          </w:tcPr>
          <w:p>
            <w:pPr>
              <w:widowControl/>
              <w:jc w:val="left"/>
              <w:rPr>
                <w:rFonts w:ascii="仿宋" w:hAnsi="仿宋" w:eastAsia="仿宋" w:cs="宋体"/>
                <w:color w:val="000000" w:themeColor="text1"/>
                <w:kern w:val="0"/>
                <w:szCs w:val="21"/>
                <w14:textFill>
                  <w14:solidFill>
                    <w14:schemeClr w14:val="tx1"/>
                  </w14:solidFill>
                </w14:textFill>
              </w:rPr>
            </w:pPr>
            <w:r>
              <w:rPr>
                <w:rFonts w:ascii="仿宋" w:hAnsi="仿宋" w:eastAsia="仿宋" w:cs="宋体"/>
                <w:color w:val="000000" w:themeColor="text1"/>
                <w:kern w:val="0"/>
                <w:szCs w:val="21"/>
                <w14:textFill>
                  <w14:solidFill>
                    <w14:schemeClr w14:val="tx1"/>
                  </w14:solidFill>
                </w14:textFill>
              </w:rPr>
              <w:t>…</w:t>
            </w:r>
          </w:p>
        </w:tc>
        <w:tc>
          <w:tcPr>
            <w:tcW w:w="1985" w:type="dxa"/>
            <w:tcBorders>
              <w:top w:val="nil"/>
              <w:left w:val="nil"/>
              <w:bottom w:val="single" w:color="auto" w:sz="4" w:space="0"/>
              <w:right w:val="single" w:color="auto" w:sz="4" w:space="0"/>
            </w:tcBorders>
            <w:shd w:val="clear" w:color="000000" w:fill="FFFFFF"/>
            <w:noWrap/>
            <w:vAlign w:val="center"/>
          </w:tcPr>
          <w:p>
            <w:pPr>
              <w:widowControl/>
              <w:jc w:val="left"/>
              <w:rPr>
                <w:rFonts w:ascii="仿宋" w:hAnsi="仿宋" w:eastAsia="仿宋" w:cs="宋体"/>
                <w:color w:val="000000" w:themeColor="text1"/>
                <w:kern w:val="0"/>
                <w:szCs w:val="21"/>
                <w14:textFill>
                  <w14:solidFill>
                    <w14:schemeClr w14:val="tx1"/>
                  </w14:solidFill>
                </w14:textFill>
              </w:rPr>
            </w:pPr>
            <w:r>
              <w:rPr>
                <w:rFonts w:ascii="仿宋" w:hAnsi="仿宋" w:eastAsia="仿宋" w:cs="宋体"/>
                <w:color w:val="000000" w:themeColor="text1"/>
                <w:kern w:val="0"/>
                <w:szCs w:val="21"/>
                <w14:textFill>
                  <w14:solidFill>
                    <w14:schemeClr w14:val="tx1"/>
                  </w14:solidFill>
                </w14:textFill>
              </w:rPr>
              <w:t>…</w:t>
            </w:r>
          </w:p>
        </w:tc>
      </w:tr>
    </w:tbl>
    <w:p>
      <w:pPr>
        <w:jc w:val="left"/>
        <w:rPr>
          <w:rFonts w:hint="eastAsia" w:ascii="仿宋" w:hAnsi="仿宋" w:eastAsia="仿宋"/>
          <w:color w:val="000000" w:themeColor="text1"/>
          <w:sz w:val="24"/>
          <w:szCs w:val="32"/>
          <w:lang w:eastAsia="zh-CN"/>
          <w14:textFill>
            <w14:solidFill>
              <w14:schemeClr w14:val="tx1"/>
            </w14:solidFill>
          </w14:textFill>
        </w:rPr>
      </w:pPr>
      <w:r>
        <w:rPr>
          <w:rFonts w:hint="eastAsia" w:ascii="仿宋" w:hAnsi="仿宋" w:eastAsia="仿宋"/>
          <w:color w:val="000000" w:themeColor="text1"/>
          <w:sz w:val="24"/>
          <w:szCs w:val="32"/>
          <w14:textFill>
            <w14:solidFill>
              <w14:schemeClr w14:val="tx1"/>
            </w14:solidFill>
          </w14:textFill>
        </w:rPr>
        <w:t>备注：如以上标注为响应，但提供相关客观证明材料显示该参数并未响应，则视为虚假响应，不再纳入合作对象范围。</w:t>
      </w:r>
    </w:p>
    <w:p>
      <w:pPr>
        <w:jc w:val="left"/>
        <w:rPr>
          <w:rFonts w:ascii="仿宋" w:hAnsi="仿宋" w:eastAsia="仿宋"/>
          <w:b/>
          <w:color w:val="000000" w:themeColor="text1"/>
          <w:sz w:val="36"/>
          <w:szCs w:val="32"/>
          <w14:textFill>
            <w14:solidFill>
              <w14:schemeClr w14:val="tx1"/>
            </w14:solidFill>
          </w14:textFill>
        </w:rPr>
      </w:pPr>
      <w:r>
        <w:rPr>
          <w:rFonts w:hint="eastAsia" w:ascii="仿宋" w:hAnsi="仿宋" w:eastAsia="仿宋"/>
          <w:b/>
          <w:color w:val="000000" w:themeColor="text1"/>
          <w:sz w:val="36"/>
          <w:szCs w:val="32"/>
          <w14:textFill>
            <w14:solidFill>
              <w14:schemeClr w14:val="tx1"/>
            </w14:solidFill>
          </w14:textFill>
        </w:rPr>
        <w:t>表格可根据实际情况进行调整。</w:t>
      </w:r>
    </w:p>
    <w:p>
      <w:pPr>
        <w:jc w:val="left"/>
        <w:rPr>
          <w:rFonts w:ascii="仿宋" w:hAnsi="仿宋" w:eastAsia="仿宋"/>
          <w:b/>
          <w:color w:val="000000" w:themeColor="text1"/>
          <w:sz w:val="36"/>
          <w:szCs w:val="32"/>
          <w14:textFill>
            <w14:solidFill>
              <w14:schemeClr w14:val="tx1"/>
            </w14:solidFill>
          </w14:textFill>
        </w:rPr>
      </w:pPr>
      <w:r>
        <w:rPr>
          <w:rFonts w:hint="eastAsia" w:ascii="仿宋" w:hAnsi="仿宋" w:eastAsia="仿宋"/>
          <w:b/>
          <w:color w:val="000000" w:themeColor="text1"/>
          <w:sz w:val="36"/>
          <w:szCs w:val="32"/>
          <w14:textFill>
            <w14:solidFill>
              <w14:schemeClr w14:val="tx1"/>
            </w14:solidFill>
          </w14:textFill>
        </w:rPr>
        <w:t>请参考5</w:t>
      </w:r>
      <w:r>
        <w:rPr>
          <w:rFonts w:ascii="仿宋" w:hAnsi="仿宋" w:eastAsia="仿宋"/>
          <w:b/>
          <w:color w:val="000000" w:themeColor="text1"/>
          <w:sz w:val="36"/>
          <w:szCs w:val="32"/>
          <w14:textFill>
            <w14:solidFill>
              <w14:schemeClr w14:val="tx1"/>
            </w14:solidFill>
          </w14:textFill>
        </w:rPr>
        <w:t>.1</w:t>
      </w:r>
    </w:p>
    <w:p>
      <w:pPr>
        <w:widowControl/>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br w:type="page"/>
      </w:r>
    </w:p>
    <w:p>
      <w:pPr>
        <w:widowControl/>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附件7：商务响应文件</w:t>
      </w:r>
    </w:p>
    <w:tbl>
      <w:tblPr>
        <w:tblStyle w:val="11"/>
        <w:tblW w:w="87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418"/>
        <w:gridCol w:w="5386"/>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704" w:type="dxa"/>
            <w:noWrap/>
            <w:vAlign w:val="center"/>
          </w:tcPr>
          <w:p>
            <w:pPr>
              <w:pStyle w:val="3"/>
              <w:tabs>
                <w:tab w:val="left" w:pos="6880"/>
              </w:tabs>
              <w:spacing w:line="360" w:lineRule="auto"/>
              <w:ind w:firstLine="0"/>
              <w:jc w:val="center"/>
              <w:rPr>
                <w:rFonts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序号</w:t>
            </w:r>
          </w:p>
        </w:tc>
        <w:tc>
          <w:tcPr>
            <w:tcW w:w="1418" w:type="dxa"/>
            <w:vAlign w:val="center"/>
          </w:tcPr>
          <w:p>
            <w:pPr>
              <w:pStyle w:val="9"/>
              <w:pBdr>
                <w:bottom w:val="none" w:color="auto" w:sz="0" w:space="0"/>
              </w:pBdr>
              <w:tabs>
                <w:tab w:val="clear" w:pos="4153"/>
                <w:tab w:val="clear" w:pos="8306"/>
              </w:tabs>
              <w:snapToGrid/>
              <w:spacing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商务要求</w:t>
            </w:r>
          </w:p>
        </w:tc>
        <w:tc>
          <w:tcPr>
            <w:tcW w:w="5386" w:type="dxa"/>
            <w:noWrap/>
            <w:vAlign w:val="center"/>
          </w:tcPr>
          <w:p>
            <w:pPr>
              <w:pStyle w:val="9"/>
              <w:pBdr>
                <w:bottom w:val="none" w:color="auto" w:sz="0" w:space="0"/>
              </w:pBdr>
              <w:tabs>
                <w:tab w:val="clear" w:pos="4153"/>
                <w:tab w:val="clear" w:pos="8306"/>
              </w:tabs>
              <w:snapToGrid/>
              <w:spacing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采购文件要求</w:t>
            </w:r>
          </w:p>
        </w:tc>
        <w:tc>
          <w:tcPr>
            <w:tcW w:w="1226" w:type="dxa"/>
            <w:noWrap/>
            <w:vAlign w:val="center"/>
          </w:tcPr>
          <w:p>
            <w:pPr>
              <w:pStyle w:val="9"/>
              <w:pBdr>
                <w:bottom w:val="none" w:color="auto" w:sz="0" w:space="0"/>
              </w:pBdr>
              <w:tabs>
                <w:tab w:val="clear" w:pos="4153"/>
                <w:tab w:val="clear" w:pos="8306"/>
              </w:tabs>
              <w:snapToGrid/>
              <w:spacing w:line="360" w:lineRule="auto"/>
              <w:rPr>
                <w:rFonts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响应的应答情况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3"/>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1418" w:type="dxa"/>
            <w:vAlign w:val="center"/>
          </w:tcPr>
          <w:p>
            <w:pPr>
              <w:pStyle w:val="3"/>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b/>
                <w:bCs/>
                <w:sz w:val="24"/>
              </w:rPr>
              <w:t>▲</w:t>
            </w:r>
            <w:r>
              <w:rPr>
                <w:rFonts w:hint="eastAsia" w:ascii="仿宋" w:hAnsi="仿宋" w:eastAsia="仿宋" w:cs="仿宋"/>
                <w:color w:val="000000" w:themeColor="text1"/>
                <w:kern w:val="0"/>
                <w:sz w:val="24"/>
                <w:szCs w:val="24"/>
                <w:lang w:val="en-US" w:eastAsia="zh-CN"/>
                <w14:textFill>
                  <w14:solidFill>
                    <w14:schemeClr w14:val="tx1"/>
                  </w14:solidFill>
                </w14:textFill>
              </w:rPr>
              <w:t>服务</w:t>
            </w:r>
            <w:r>
              <w:rPr>
                <w:rFonts w:hint="eastAsia" w:ascii="仿宋" w:hAnsi="仿宋" w:eastAsia="仿宋" w:cs="仿宋"/>
                <w:color w:val="000000" w:themeColor="text1"/>
                <w:kern w:val="0"/>
                <w:sz w:val="24"/>
                <w:szCs w:val="24"/>
                <w14:textFill>
                  <w14:solidFill>
                    <w14:schemeClr w14:val="tx1"/>
                  </w14:solidFill>
                </w14:textFill>
              </w:rPr>
              <w:t>期及地点</w:t>
            </w:r>
          </w:p>
        </w:tc>
        <w:tc>
          <w:tcPr>
            <w:tcW w:w="5386" w:type="dxa"/>
            <w:noWrap/>
            <w:vAlign w:val="center"/>
          </w:tcPr>
          <w:p>
            <w:pPr>
              <w:pStyle w:val="3"/>
              <w:tabs>
                <w:tab w:val="left" w:pos="6880"/>
              </w:tabs>
              <w:spacing w:line="360" w:lineRule="auto"/>
              <w:ind w:firstLine="0"/>
              <w:jc w:val="left"/>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r>
              <w:rPr>
                <w:rFonts w:ascii="仿宋" w:hAnsi="仿宋" w:eastAsia="仿宋" w:cs="仿宋"/>
                <w:color w:val="000000" w:themeColor="text1"/>
                <w:kern w:val="0"/>
                <w:sz w:val="24"/>
                <w:szCs w:val="24"/>
                <w14:textFill>
                  <w14:solidFill>
                    <w14:schemeClr w14:val="tx1"/>
                  </w14:solidFill>
                </w14:textFill>
              </w:rPr>
              <w:t>.</w:t>
            </w:r>
            <w:r>
              <w:rPr>
                <w:rFonts w:hint="eastAsia" w:ascii="仿宋" w:hAnsi="仿宋" w:eastAsia="仿宋" w:cs="仿宋"/>
                <w:color w:val="000000" w:themeColor="text1"/>
                <w:kern w:val="0"/>
                <w:sz w:val="24"/>
                <w:szCs w:val="24"/>
                <w:lang w:val="en-US" w:eastAsia="zh-CN"/>
                <w14:textFill>
                  <w14:solidFill>
                    <w14:schemeClr w14:val="tx1"/>
                  </w14:solidFill>
                </w14:textFill>
              </w:rPr>
              <w:t>服务期限：合同签订后一周内进场开始测评工作，本项目须于2021年12月25日前完成。</w:t>
            </w:r>
          </w:p>
          <w:p>
            <w:pPr>
              <w:pStyle w:val="3"/>
              <w:tabs>
                <w:tab w:val="left" w:pos="6880"/>
              </w:tabs>
              <w:spacing w:line="360" w:lineRule="auto"/>
              <w:ind w:firstLine="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w:t>
            </w:r>
            <w:r>
              <w:rPr>
                <w:rFonts w:ascii="仿宋" w:hAnsi="仿宋" w:eastAsia="仿宋" w:cs="仿宋"/>
                <w:color w:val="000000" w:themeColor="text1"/>
                <w:kern w:val="0"/>
                <w:sz w:val="24"/>
                <w:szCs w:val="24"/>
                <w14:textFill>
                  <w14:solidFill>
                    <w14:schemeClr w14:val="tx1"/>
                  </w14:solidFill>
                </w14:textFill>
              </w:rPr>
              <w:t>.</w:t>
            </w:r>
            <w:r>
              <w:rPr>
                <w:rFonts w:hint="eastAsia" w:ascii="仿宋" w:hAnsi="仿宋" w:eastAsia="仿宋" w:cs="仿宋"/>
                <w:color w:val="000000" w:themeColor="text1"/>
                <w:kern w:val="0"/>
                <w:sz w:val="24"/>
                <w:szCs w:val="24"/>
                <w14:textFill>
                  <w14:solidFill>
                    <w14:schemeClr w14:val="tx1"/>
                  </w14:solidFill>
                </w14:textFill>
              </w:rPr>
              <w:t>交货地点：采购人指定地点。</w:t>
            </w:r>
          </w:p>
        </w:tc>
        <w:tc>
          <w:tcPr>
            <w:tcW w:w="1226" w:type="dxa"/>
            <w:noWrap/>
            <w:vAlign w:val="center"/>
          </w:tcPr>
          <w:p>
            <w:pPr>
              <w:pStyle w:val="3"/>
              <w:tabs>
                <w:tab w:val="left" w:pos="6880"/>
              </w:tabs>
              <w:spacing w:line="360" w:lineRule="auto"/>
              <w:ind w:firstLine="480"/>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3"/>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w:t>
            </w:r>
          </w:p>
        </w:tc>
        <w:tc>
          <w:tcPr>
            <w:tcW w:w="1418" w:type="dxa"/>
            <w:vAlign w:val="center"/>
          </w:tcPr>
          <w:p>
            <w:pPr>
              <w:pStyle w:val="3"/>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b/>
                <w:bCs/>
                <w:sz w:val="24"/>
              </w:rPr>
              <w:t>▲</w:t>
            </w:r>
            <w:r>
              <w:rPr>
                <w:rFonts w:hint="eastAsia" w:ascii="仿宋" w:hAnsi="仿宋" w:eastAsia="仿宋" w:cs="仿宋"/>
                <w:color w:val="000000" w:themeColor="text1"/>
                <w:kern w:val="0"/>
                <w:sz w:val="24"/>
                <w:szCs w:val="24"/>
                <w14:textFill>
                  <w14:solidFill>
                    <w14:schemeClr w14:val="tx1"/>
                  </w14:solidFill>
                </w14:textFill>
              </w:rPr>
              <w:t>付款方式</w:t>
            </w:r>
          </w:p>
        </w:tc>
        <w:tc>
          <w:tcPr>
            <w:tcW w:w="5386" w:type="dxa"/>
            <w:noWrap/>
            <w:vAlign w:val="center"/>
          </w:tcPr>
          <w:p>
            <w:pPr>
              <w:pStyle w:val="3"/>
              <w:tabs>
                <w:tab w:val="left" w:pos="6880"/>
              </w:tabs>
              <w:spacing w:line="360" w:lineRule="auto"/>
              <w:ind w:firstLine="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合同签订生效后，甲方收到乙方等额发票后</w:t>
            </w:r>
            <w:r>
              <w:rPr>
                <w:rFonts w:hint="eastAsia" w:ascii="仿宋" w:hAnsi="仿宋" w:eastAsia="仿宋" w:cs="仿宋"/>
                <w:color w:val="000000" w:themeColor="text1"/>
                <w:kern w:val="0"/>
                <w:sz w:val="24"/>
                <w:szCs w:val="24"/>
                <w:lang w:val="en-US" w:eastAsia="zh-CN"/>
                <w14:textFill>
                  <w14:solidFill>
                    <w14:schemeClr w14:val="tx1"/>
                  </w14:solidFill>
                </w14:textFill>
              </w:rPr>
              <w:t>30</w:t>
            </w:r>
            <w:r>
              <w:rPr>
                <w:rFonts w:hint="eastAsia" w:ascii="仿宋" w:hAnsi="仿宋" w:eastAsia="仿宋" w:cs="仿宋"/>
                <w:color w:val="000000" w:themeColor="text1"/>
                <w:kern w:val="0"/>
                <w:sz w:val="24"/>
                <w:szCs w:val="24"/>
                <w14:textFill>
                  <w14:solidFill>
                    <w14:schemeClr w14:val="tx1"/>
                  </w14:solidFill>
                </w14:textFill>
              </w:rPr>
              <w:t>日内支付中标金额的30%款项；</w:t>
            </w:r>
            <w:r>
              <w:rPr>
                <w:rFonts w:hint="eastAsia" w:ascii="仿宋" w:hAnsi="仿宋" w:eastAsia="仿宋" w:cs="仿宋"/>
                <w:color w:val="000000" w:themeColor="text1"/>
                <w:kern w:val="0"/>
                <w:sz w:val="24"/>
                <w:szCs w:val="24"/>
                <w:lang w:val="en-US" w:eastAsia="zh-CN"/>
                <w14:textFill>
                  <w14:solidFill>
                    <w14:schemeClr w14:val="tx1"/>
                  </w14:solidFill>
                </w14:textFill>
              </w:rPr>
              <w:t>服务</w:t>
            </w:r>
            <w:r>
              <w:rPr>
                <w:rFonts w:hint="eastAsia" w:ascii="仿宋" w:hAnsi="仿宋" w:eastAsia="仿宋" w:cs="仿宋"/>
                <w:color w:val="000000" w:themeColor="text1"/>
                <w:kern w:val="0"/>
                <w:sz w:val="24"/>
                <w:szCs w:val="24"/>
                <w14:textFill>
                  <w14:solidFill>
                    <w14:schemeClr w14:val="tx1"/>
                  </w14:solidFill>
                </w14:textFill>
              </w:rPr>
              <w:t>完成并验收合格后，甲方收到乙方等额发票后</w:t>
            </w:r>
            <w:r>
              <w:rPr>
                <w:rFonts w:hint="eastAsia" w:ascii="仿宋" w:hAnsi="仿宋" w:eastAsia="仿宋" w:cs="仿宋"/>
                <w:color w:val="000000" w:themeColor="text1"/>
                <w:kern w:val="0"/>
                <w:sz w:val="24"/>
                <w:szCs w:val="24"/>
                <w:lang w:val="en-US" w:eastAsia="zh-CN"/>
                <w14:textFill>
                  <w14:solidFill>
                    <w14:schemeClr w14:val="tx1"/>
                  </w14:solidFill>
                </w14:textFill>
              </w:rPr>
              <w:t>30</w:t>
            </w:r>
            <w:r>
              <w:rPr>
                <w:rFonts w:hint="eastAsia" w:ascii="仿宋" w:hAnsi="仿宋" w:eastAsia="仿宋" w:cs="仿宋"/>
                <w:color w:val="000000" w:themeColor="text1"/>
                <w:kern w:val="0"/>
                <w:sz w:val="24"/>
                <w:szCs w:val="24"/>
                <w14:textFill>
                  <w14:solidFill>
                    <w14:schemeClr w14:val="tx1"/>
                  </w14:solidFill>
                </w14:textFill>
              </w:rPr>
              <w:t>日内支付中标金额的70%款项。</w:t>
            </w:r>
          </w:p>
        </w:tc>
        <w:tc>
          <w:tcPr>
            <w:tcW w:w="1226" w:type="dxa"/>
            <w:noWrap/>
            <w:vAlign w:val="center"/>
          </w:tcPr>
          <w:p>
            <w:pPr>
              <w:pStyle w:val="3"/>
              <w:tabs>
                <w:tab w:val="left" w:pos="6880"/>
              </w:tabs>
              <w:spacing w:line="360" w:lineRule="auto"/>
              <w:ind w:firstLine="480"/>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3"/>
              <w:tabs>
                <w:tab w:val="left" w:pos="34"/>
              </w:tabs>
              <w:spacing w:line="360" w:lineRule="auto"/>
              <w:ind w:firstLine="0"/>
              <w:jc w:val="center"/>
              <w:rPr>
                <w:rFonts w:hint="eastAsia" w:ascii="仿宋" w:hAnsi="仿宋" w:eastAsia="仿宋" w:cs="仿宋"/>
                <w:color w:val="000000" w:themeColor="text1"/>
                <w:kern w:val="0"/>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3</w:t>
            </w:r>
          </w:p>
        </w:tc>
        <w:tc>
          <w:tcPr>
            <w:tcW w:w="1418" w:type="dxa"/>
            <w:vAlign w:val="center"/>
          </w:tcPr>
          <w:p>
            <w:pPr>
              <w:pStyle w:val="3"/>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验收标准</w:t>
            </w:r>
          </w:p>
        </w:tc>
        <w:tc>
          <w:tcPr>
            <w:tcW w:w="5386" w:type="dxa"/>
            <w:noWrap/>
            <w:vAlign w:val="center"/>
          </w:tcPr>
          <w:p>
            <w:pPr>
              <w:pStyle w:val="5"/>
              <w:spacing w:line="360" w:lineRule="auto"/>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bCs/>
                <w:sz w:val="24"/>
                <w:lang w:val="en-US" w:eastAsia="zh-CN"/>
              </w:rPr>
              <w:t>按国家有关规定、《财政部关于进一步加强政府采购需求和履行验收管理的指导意见》（财库〔2016〕205号）文件、招标文件要求、投标人的投标文件及有关承诺以及合同约定标准进行验收。本项目主要预期成果为“四川省严重精神障碍综合管理信息系统”通过等级保护测评（三级），在2021年12月31日前取得符合要求的《信息系统安全等级保护备案证明》即可视为验收合</w:t>
            </w:r>
            <w:r>
              <w:rPr>
                <w:rFonts w:hint="eastAsia" w:ascii="仿宋" w:hAnsi="仿宋" w:eastAsia="仿宋" w:cs="仿宋"/>
                <w:bCs/>
                <w:sz w:val="24"/>
              </w:rPr>
              <w:t>格。</w:t>
            </w:r>
          </w:p>
        </w:tc>
        <w:tc>
          <w:tcPr>
            <w:tcW w:w="1226" w:type="dxa"/>
            <w:noWrap/>
            <w:vAlign w:val="center"/>
          </w:tcPr>
          <w:p>
            <w:pPr>
              <w:pStyle w:val="3"/>
              <w:tabs>
                <w:tab w:val="left" w:pos="6880"/>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704" w:type="dxa"/>
            <w:noWrap/>
            <w:vAlign w:val="center"/>
          </w:tcPr>
          <w:p>
            <w:pPr>
              <w:pStyle w:val="3"/>
              <w:tabs>
                <w:tab w:val="left" w:pos="34"/>
              </w:tabs>
              <w:spacing w:line="360" w:lineRule="auto"/>
              <w:ind w:firstLine="0"/>
              <w:jc w:val="center"/>
              <w:rPr>
                <w:rFonts w:hint="eastAsia" w:ascii="仿宋" w:hAnsi="仿宋" w:eastAsia="仿宋" w:cs="仿宋"/>
                <w:color w:val="000000" w:themeColor="text1"/>
                <w:kern w:val="0"/>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4</w:t>
            </w:r>
          </w:p>
        </w:tc>
        <w:tc>
          <w:tcPr>
            <w:tcW w:w="1418" w:type="dxa"/>
            <w:vAlign w:val="center"/>
          </w:tcPr>
          <w:p>
            <w:pPr>
              <w:pStyle w:val="3"/>
              <w:tabs>
                <w:tab w:val="left" w:pos="6880"/>
              </w:tabs>
              <w:spacing w:line="360" w:lineRule="auto"/>
              <w:ind w:firstLine="0"/>
              <w:rPr>
                <w:rFonts w:hint="eastAsia" w:ascii="仿宋" w:hAnsi="仿宋" w:eastAsia="仿宋" w:cs="仿宋"/>
                <w:color w:val="000000" w:themeColor="text1"/>
                <w:kern w:val="0"/>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培训要求</w:t>
            </w:r>
          </w:p>
        </w:tc>
        <w:tc>
          <w:tcPr>
            <w:tcW w:w="5386" w:type="dxa"/>
            <w:noWrap/>
            <w:vAlign w:val="center"/>
          </w:tcPr>
          <w:p>
            <w:pPr>
              <w:pStyle w:val="6"/>
              <w:ind w:left="0" w:leftChars="0" w:firstLine="0" w:firstLineChars="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bCs/>
                <w:kern w:val="2"/>
                <w:sz w:val="24"/>
                <w:szCs w:val="24"/>
                <w:lang w:val="en-US" w:eastAsia="zh-CN" w:bidi="ar-SA"/>
              </w:rPr>
              <w:t>投标人结合本项目及招标人实际需要，提供技术培训方案。</w:t>
            </w:r>
          </w:p>
        </w:tc>
        <w:tc>
          <w:tcPr>
            <w:tcW w:w="1226" w:type="dxa"/>
            <w:noWrap/>
            <w:vAlign w:val="center"/>
          </w:tcPr>
          <w:p>
            <w:pPr>
              <w:pStyle w:val="3"/>
              <w:tabs>
                <w:tab w:val="left" w:pos="6880"/>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jc w:val="center"/>
        </w:trPr>
        <w:tc>
          <w:tcPr>
            <w:tcW w:w="704" w:type="dxa"/>
            <w:noWrap/>
            <w:vAlign w:val="center"/>
          </w:tcPr>
          <w:p>
            <w:pPr>
              <w:pStyle w:val="3"/>
              <w:tabs>
                <w:tab w:val="left" w:pos="34"/>
              </w:tabs>
              <w:spacing w:line="360" w:lineRule="auto"/>
              <w:ind w:firstLine="0"/>
              <w:jc w:val="center"/>
              <w:rPr>
                <w:rFonts w:hint="eastAsia" w:ascii="仿宋" w:hAnsi="仿宋" w:eastAsia="仿宋" w:cs="仿宋"/>
                <w:color w:val="000000" w:themeColor="text1"/>
                <w:kern w:val="0"/>
                <w:sz w:val="24"/>
                <w:szCs w:val="24"/>
                <w:lang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5</w:t>
            </w:r>
          </w:p>
        </w:tc>
        <w:tc>
          <w:tcPr>
            <w:tcW w:w="1418" w:type="dxa"/>
            <w:vAlign w:val="center"/>
          </w:tcPr>
          <w:p>
            <w:pPr>
              <w:pStyle w:val="3"/>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技术标准和规范</w:t>
            </w:r>
          </w:p>
        </w:tc>
        <w:tc>
          <w:tcPr>
            <w:tcW w:w="5386" w:type="dxa"/>
            <w:noWrap/>
            <w:vAlign w:val="center"/>
          </w:tcPr>
          <w:p>
            <w:pPr>
              <w:pStyle w:val="10"/>
              <w:keepNext w:val="0"/>
              <w:keepLines w:val="0"/>
              <w:pageBreakBefore w:val="0"/>
              <w:widowControl/>
              <w:kinsoku/>
              <w:wordWrap w:val="0"/>
              <w:overflowPunct/>
              <w:topLinePunct w:val="0"/>
              <w:autoSpaceDE/>
              <w:autoSpaceDN/>
              <w:bidi w:val="0"/>
              <w:adjustRightInd/>
              <w:snapToGrid/>
              <w:spacing w:before="0" w:beforeAutospacing="0" w:after="0" w:afterAutospacing="0" w:line="360" w:lineRule="auto"/>
              <w:textAlignment w:val="auto"/>
              <w:rPr>
                <w:rFonts w:hint="eastAsia" w:ascii="仿宋" w:hAnsi="仿宋" w:eastAsia="仿宋" w:cs="仿宋"/>
                <w:bCs/>
                <w:kern w:val="2"/>
                <w:sz w:val="24"/>
                <w:szCs w:val="24"/>
                <w:lang w:val="en-US" w:eastAsia="zh-CN" w:bidi="ar-SA"/>
              </w:rPr>
            </w:pPr>
            <w:r>
              <w:rPr>
                <w:rFonts w:hint="eastAsia" w:ascii="仿宋" w:hAnsi="仿宋" w:eastAsia="仿宋" w:cs="仿宋"/>
                <w:bCs/>
                <w:kern w:val="2"/>
                <w:sz w:val="24"/>
                <w:szCs w:val="24"/>
                <w:lang w:val="en-US" w:eastAsia="zh-CN" w:bidi="ar-SA"/>
              </w:rPr>
              <w:t>《中华人民共和国计算机信息系统安全保护条例》(国务院令147号)、《信息安全等级保护管理办法》（公通字[2007]43号、《计算机信息系统安全保护等级划分准则》（GB17859-1999）、《信息安全技术网络安全等级保护定级指南》（GB/T22240-2020）、《信息安全技术网络安全等级保护基本要求》（GB/T22239-2019)、《信息安全技术网络安全等级保护测评要求》（GB/T28448-2019）、《信息安全技术网络安全等级保护测评过程指南》（GB/T28449-2018）、《信息安全技术网络安全等级保护实施指南》（GB/T 25058-2019）、《信息安全技术信息安全风险评估规范》（GB/T20984-2015）、《中华人民共和国网络安全法》。</w:t>
            </w:r>
          </w:p>
        </w:tc>
        <w:tc>
          <w:tcPr>
            <w:tcW w:w="1226" w:type="dxa"/>
            <w:noWrap/>
            <w:vAlign w:val="center"/>
          </w:tcPr>
          <w:p>
            <w:pPr>
              <w:pStyle w:val="3"/>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jc w:val="center"/>
        </w:trPr>
        <w:tc>
          <w:tcPr>
            <w:tcW w:w="704" w:type="dxa"/>
            <w:noWrap/>
            <w:vAlign w:val="center"/>
          </w:tcPr>
          <w:p>
            <w:pPr>
              <w:pStyle w:val="3"/>
              <w:tabs>
                <w:tab w:val="left" w:pos="34"/>
              </w:tabs>
              <w:spacing w:line="360" w:lineRule="auto"/>
              <w:ind w:firstLine="0"/>
              <w:jc w:val="center"/>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6</w:t>
            </w:r>
          </w:p>
        </w:tc>
        <w:tc>
          <w:tcPr>
            <w:tcW w:w="1418" w:type="dxa"/>
            <w:vAlign w:val="center"/>
          </w:tcPr>
          <w:p>
            <w:pPr>
              <w:pStyle w:val="3"/>
              <w:tabs>
                <w:tab w:val="left" w:pos="6880"/>
              </w:tabs>
              <w:spacing w:line="360" w:lineRule="auto"/>
              <w:ind w:firstLine="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技术原则</w:t>
            </w:r>
          </w:p>
        </w:tc>
        <w:tc>
          <w:tcPr>
            <w:tcW w:w="5386" w:type="dxa"/>
            <w:noWrap/>
            <w:vAlign w:val="center"/>
          </w:tcPr>
          <w:p>
            <w:pPr>
              <w:pStyle w:val="3"/>
              <w:tabs>
                <w:tab w:val="left" w:pos="6880"/>
              </w:tabs>
              <w:spacing w:line="360" w:lineRule="auto"/>
              <w:ind w:firstLine="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1.保密原则：对测评的过程数据和结果数据严格保密，未经授权不得泄露给任何单位和个人，不得利用此数据进行任何侵害采购方的行为，否则采购方有权追究供应商的责任。</w:t>
            </w:r>
          </w:p>
          <w:p>
            <w:pPr>
              <w:pStyle w:val="3"/>
              <w:tabs>
                <w:tab w:val="left" w:pos="6880"/>
              </w:tabs>
              <w:spacing w:line="360" w:lineRule="auto"/>
              <w:ind w:firstLine="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2.标准性原则：测评方案的设计与实施应依据国家等级保护的相关标准进行。</w:t>
            </w:r>
          </w:p>
          <w:p>
            <w:pPr>
              <w:pStyle w:val="3"/>
              <w:tabs>
                <w:tab w:val="left" w:pos="6880"/>
              </w:tabs>
              <w:spacing w:line="360" w:lineRule="auto"/>
              <w:ind w:firstLine="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3.规范性原则：供应商的工作中的过程和文档，具有很好的规范性，可以便于项目的跟踪和控制，测评出具的报告须符合公安部颁布的《信息系统安全等级测评报告模板》。</w:t>
            </w:r>
          </w:p>
          <w:p>
            <w:pPr>
              <w:pStyle w:val="3"/>
              <w:tabs>
                <w:tab w:val="left" w:pos="6880"/>
              </w:tabs>
              <w:spacing w:line="360" w:lineRule="auto"/>
              <w:ind w:firstLine="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4.可控性原则：等保测评服务的进度要按照招标文件 的要求，保证采购方对于测评工作的可控性。</w:t>
            </w:r>
          </w:p>
          <w:p>
            <w:pPr>
              <w:pStyle w:val="3"/>
              <w:tabs>
                <w:tab w:val="left" w:pos="6880"/>
              </w:tabs>
              <w:spacing w:line="360" w:lineRule="auto"/>
              <w:ind w:firstLine="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5.整体性原则：等保测评服务的范围和内容应当整体全面，包括国家等级保护相关要求测评要求涉及的各个层面。</w:t>
            </w:r>
          </w:p>
          <w:p>
            <w:pPr>
              <w:pStyle w:val="3"/>
              <w:tabs>
                <w:tab w:val="left" w:pos="6880"/>
              </w:tabs>
              <w:spacing w:line="360" w:lineRule="auto"/>
              <w:ind w:firstLine="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6.安全性原则：等保测评服务工作应不得影响系统和网络的正常运行；测评工作不得对现有信息系统的正常运行、业务的正常开展产生任何影响。</w:t>
            </w:r>
          </w:p>
          <w:p>
            <w:pPr>
              <w:pStyle w:val="3"/>
              <w:tabs>
                <w:tab w:val="left" w:pos="6880"/>
              </w:tabs>
              <w:spacing w:line="360" w:lineRule="auto"/>
              <w:ind w:firstLine="0"/>
              <w:rPr>
                <w:rFonts w:hint="eastAsia"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7.测评机构资质及人员要求：（1）从事信息系统检测评估相关工作人员无违法记录；（2）工作人员仅限于中华人民共和国境内的中国公民，且无犯罪记录；（3）测评期间需遵守被测单位相关管理规定，禁止利用测评工作从事危害被测单位利益、安全的活动。</w:t>
            </w:r>
          </w:p>
        </w:tc>
        <w:tc>
          <w:tcPr>
            <w:tcW w:w="1226" w:type="dxa"/>
            <w:noWrap/>
            <w:vAlign w:val="center"/>
          </w:tcPr>
          <w:p>
            <w:pPr>
              <w:pStyle w:val="3"/>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p>
        </w:tc>
      </w:tr>
    </w:tbl>
    <w:p>
      <w:pPr>
        <w:pStyle w:val="6"/>
        <w:ind w:firstLine="0" w:firstLineChars="0"/>
        <w:rPr>
          <w:rFonts w:ascii="仿宋" w:hAnsi="仿宋" w:eastAsia="仿宋" w:cstheme="minorEastAsia"/>
          <w:b/>
          <w:color w:val="000000" w:themeColor="text1"/>
          <w:sz w:val="28"/>
          <w:szCs w:val="28"/>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7F2AC"/>
    <w:multiLevelType w:val="singleLevel"/>
    <w:tmpl w:val="9337F2AC"/>
    <w:lvl w:ilvl="0" w:tentative="0">
      <w:start w:val="1"/>
      <w:numFmt w:val="decimal"/>
      <w:lvlText w:val="%1."/>
      <w:lvlJc w:val="left"/>
      <w:pPr>
        <w:tabs>
          <w:tab w:val="left" w:pos="312"/>
        </w:tabs>
      </w:pPr>
    </w:lvl>
  </w:abstractNum>
  <w:abstractNum w:abstractNumId="1">
    <w:nsid w:val="6D7F8CAD"/>
    <w:multiLevelType w:val="singleLevel"/>
    <w:tmpl w:val="6D7F8CAD"/>
    <w:lvl w:ilvl="0" w:tentative="0">
      <w:start w:val="1"/>
      <w:numFmt w:val="chineseCounting"/>
      <w:suff w:val="space"/>
      <w:lvlText w:val="第%1部分"/>
      <w:lvlJc w:val="left"/>
      <w:rPr>
        <w:rFonts w:hint="eastAsia"/>
        <w:b/>
        <w:bCs/>
        <w:lang w:val="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hmNTZlYzZkNGNhMmRiYWI1NWQzNTk0NzYxNmU0NWEifQ=="/>
  </w:docVars>
  <w:rsids>
    <w:rsidRoot w:val="00A6066E"/>
    <w:rsid w:val="00010760"/>
    <w:rsid w:val="00012EB7"/>
    <w:rsid w:val="00013D73"/>
    <w:rsid w:val="00017753"/>
    <w:rsid w:val="00050F5C"/>
    <w:rsid w:val="00056200"/>
    <w:rsid w:val="00063E39"/>
    <w:rsid w:val="00066AF9"/>
    <w:rsid w:val="0008040B"/>
    <w:rsid w:val="00083DE2"/>
    <w:rsid w:val="00085067"/>
    <w:rsid w:val="00096D15"/>
    <w:rsid w:val="00096D21"/>
    <w:rsid w:val="000B683D"/>
    <w:rsid w:val="000C0FEC"/>
    <w:rsid w:val="000D144C"/>
    <w:rsid w:val="000D5294"/>
    <w:rsid w:val="000E02C6"/>
    <w:rsid w:val="000E4F3F"/>
    <w:rsid w:val="000F415C"/>
    <w:rsid w:val="000F4279"/>
    <w:rsid w:val="00115F3D"/>
    <w:rsid w:val="00120948"/>
    <w:rsid w:val="00133776"/>
    <w:rsid w:val="001413C2"/>
    <w:rsid w:val="00154DC0"/>
    <w:rsid w:val="00160F9C"/>
    <w:rsid w:val="0017785D"/>
    <w:rsid w:val="00182B94"/>
    <w:rsid w:val="0019367F"/>
    <w:rsid w:val="001B19B4"/>
    <w:rsid w:val="001C0B1C"/>
    <w:rsid w:val="001D1FF2"/>
    <w:rsid w:val="001D54C4"/>
    <w:rsid w:val="001D7338"/>
    <w:rsid w:val="001E1260"/>
    <w:rsid w:val="00210D1F"/>
    <w:rsid w:val="002402C4"/>
    <w:rsid w:val="002410BE"/>
    <w:rsid w:val="002440F8"/>
    <w:rsid w:val="00246CCC"/>
    <w:rsid w:val="002473D4"/>
    <w:rsid w:val="0025727E"/>
    <w:rsid w:val="00281C85"/>
    <w:rsid w:val="002A4A5B"/>
    <w:rsid w:val="002B2A52"/>
    <w:rsid w:val="002D4348"/>
    <w:rsid w:val="002F0E44"/>
    <w:rsid w:val="002F66D0"/>
    <w:rsid w:val="00300777"/>
    <w:rsid w:val="0031743B"/>
    <w:rsid w:val="00334B06"/>
    <w:rsid w:val="00343CAF"/>
    <w:rsid w:val="00364FD2"/>
    <w:rsid w:val="00366DBF"/>
    <w:rsid w:val="003831E0"/>
    <w:rsid w:val="003A0855"/>
    <w:rsid w:val="003A1B80"/>
    <w:rsid w:val="003B2E7E"/>
    <w:rsid w:val="003B6E23"/>
    <w:rsid w:val="003B74EF"/>
    <w:rsid w:val="003B7F3A"/>
    <w:rsid w:val="003C5643"/>
    <w:rsid w:val="003D06FE"/>
    <w:rsid w:val="003E7213"/>
    <w:rsid w:val="003E7B7C"/>
    <w:rsid w:val="00402815"/>
    <w:rsid w:val="004155FF"/>
    <w:rsid w:val="004302C9"/>
    <w:rsid w:val="00435364"/>
    <w:rsid w:val="00451112"/>
    <w:rsid w:val="004549A8"/>
    <w:rsid w:val="00457120"/>
    <w:rsid w:val="00460D3F"/>
    <w:rsid w:val="004622D1"/>
    <w:rsid w:val="00470E68"/>
    <w:rsid w:val="0048469D"/>
    <w:rsid w:val="004A03C2"/>
    <w:rsid w:val="004A2F50"/>
    <w:rsid w:val="004B0B0D"/>
    <w:rsid w:val="004C1B28"/>
    <w:rsid w:val="004C5B21"/>
    <w:rsid w:val="004E7E24"/>
    <w:rsid w:val="004F04E1"/>
    <w:rsid w:val="005112C8"/>
    <w:rsid w:val="00513A3D"/>
    <w:rsid w:val="00517ED4"/>
    <w:rsid w:val="0052276B"/>
    <w:rsid w:val="00530A1E"/>
    <w:rsid w:val="00536937"/>
    <w:rsid w:val="00551B3A"/>
    <w:rsid w:val="0055769A"/>
    <w:rsid w:val="00573A8C"/>
    <w:rsid w:val="00585CEA"/>
    <w:rsid w:val="005B6F42"/>
    <w:rsid w:val="005C19CF"/>
    <w:rsid w:val="005D69B0"/>
    <w:rsid w:val="005F0252"/>
    <w:rsid w:val="005F3643"/>
    <w:rsid w:val="00610EE5"/>
    <w:rsid w:val="00644C3A"/>
    <w:rsid w:val="00647071"/>
    <w:rsid w:val="00650851"/>
    <w:rsid w:val="00695355"/>
    <w:rsid w:val="006C51CC"/>
    <w:rsid w:val="006C703F"/>
    <w:rsid w:val="006D2DDB"/>
    <w:rsid w:val="006D4C72"/>
    <w:rsid w:val="006D7F26"/>
    <w:rsid w:val="006E6DA8"/>
    <w:rsid w:val="006F31A3"/>
    <w:rsid w:val="006F6751"/>
    <w:rsid w:val="00704518"/>
    <w:rsid w:val="00716421"/>
    <w:rsid w:val="00734E59"/>
    <w:rsid w:val="00736007"/>
    <w:rsid w:val="00753220"/>
    <w:rsid w:val="007630A4"/>
    <w:rsid w:val="007817DA"/>
    <w:rsid w:val="00793D44"/>
    <w:rsid w:val="007B3C6B"/>
    <w:rsid w:val="007C19D7"/>
    <w:rsid w:val="007D076B"/>
    <w:rsid w:val="00816DD6"/>
    <w:rsid w:val="0083224C"/>
    <w:rsid w:val="00836D87"/>
    <w:rsid w:val="0087035F"/>
    <w:rsid w:val="008732E1"/>
    <w:rsid w:val="008813B7"/>
    <w:rsid w:val="0088142F"/>
    <w:rsid w:val="00884C42"/>
    <w:rsid w:val="008871B6"/>
    <w:rsid w:val="00891B51"/>
    <w:rsid w:val="00892012"/>
    <w:rsid w:val="00896045"/>
    <w:rsid w:val="008A322D"/>
    <w:rsid w:val="008C28F1"/>
    <w:rsid w:val="00904702"/>
    <w:rsid w:val="00920989"/>
    <w:rsid w:val="00923944"/>
    <w:rsid w:val="00932F62"/>
    <w:rsid w:val="00942714"/>
    <w:rsid w:val="00945CF2"/>
    <w:rsid w:val="009633E1"/>
    <w:rsid w:val="00965EED"/>
    <w:rsid w:val="0099436F"/>
    <w:rsid w:val="009B4CBC"/>
    <w:rsid w:val="009C0018"/>
    <w:rsid w:val="009C32E6"/>
    <w:rsid w:val="009C73F5"/>
    <w:rsid w:val="009C7F7F"/>
    <w:rsid w:val="009D0C45"/>
    <w:rsid w:val="009E14DE"/>
    <w:rsid w:val="009F1423"/>
    <w:rsid w:val="00A04333"/>
    <w:rsid w:val="00A06AFE"/>
    <w:rsid w:val="00A272A3"/>
    <w:rsid w:val="00A3284C"/>
    <w:rsid w:val="00A44375"/>
    <w:rsid w:val="00A45524"/>
    <w:rsid w:val="00A51F68"/>
    <w:rsid w:val="00A6066E"/>
    <w:rsid w:val="00A7584C"/>
    <w:rsid w:val="00A8030F"/>
    <w:rsid w:val="00A8719D"/>
    <w:rsid w:val="00A96622"/>
    <w:rsid w:val="00AA0519"/>
    <w:rsid w:val="00AA2535"/>
    <w:rsid w:val="00AB221F"/>
    <w:rsid w:val="00AE0718"/>
    <w:rsid w:val="00B03953"/>
    <w:rsid w:val="00B10767"/>
    <w:rsid w:val="00B3492F"/>
    <w:rsid w:val="00B406D9"/>
    <w:rsid w:val="00B4097E"/>
    <w:rsid w:val="00B46FE7"/>
    <w:rsid w:val="00B47D48"/>
    <w:rsid w:val="00B50B9F"/>
    <w:rsid w:val="00B54B2E"/>
    <w:rsid w:val="00B64CB1"/>
    <w:rsid w:val="00B65426"/>
    <w:rsid w:val="00B747E8"/>
    <w:rsid w:val="00B83C3B"/>
    <w:rsid w:val="00B83C7C"/>
    <w:rsid w:val="00B8794B"/>
    <w:rsid w:val="00B90053"/>
    <w:rsid w:val="00B90B8B"/>
    <w:rsid w:val="00B90E93"/>
    <w:rsid w:val="00B92299"/>
    <w:rsid w:val="00B93315"/>
    <w:rsid w:val="00BA3F11"/>
    <w:rsid w:val="00BA559E"/>
    <w:rsid w:val="00BC677E"/>
    <w:rsid w:val="00BD780E"/>
    <w:rsid w:val="00BE3788"/>
    <w:rsid w:val="00BF5502"/>
    <w:rsid w:val="00BF646D"/>
    <w:rsid w:val="00C060E2"/>
    <w:rsid w:val="00C21575"/>
    <w:rsid w:val="00C31C63"/>
    <w:rsid w:val="00C34737"/>
    <w:rsid w:val="00C45016"/>
    <w:rsid w:val="00C52B72"/>
    <w:rsid w:val="00C840F4"/>
    <w:rsid w:val="00C87933"/>
    <w:rsid w:val="00C9510A"/>
    <w:rsid w:val="00CC7A33"/>
    <w:rsid w:val="00CD4F87"/>
    <w:rsid w:val="00CD6B18"/>
    <w:rsid w:val="00CE610A"/>
    <w:rsid w:val="00CE73F6"/>
    <w:rsid w:val="00CF088F"/>
    <w:rsid w:val="00D00490"/>
    <w:rsid w:val="00D166B1"/>
    <w:rsid w:val="00D24D8B"/>
    <w:rsid w:val="00D541A8"/>
    <w:rsid w:val="00D71AFA"/>
    <w:rsid w:val="00DF32CB"/>
    <w:rsid w:val="00DF5C52"/>
    <w:rsid w:val="00E035FD"/>
    <w:rsid w:val="00E10BCB"/>
    <w:rsid w:val="00E255F6"/>
    <w:rsid w:val="00E303D7"/>
    <w:rsid w:val="00E367EB"/>
    <w:rsid w:val="00E572B7"/>
    <w:rsid w:val="00E76736"/>
    <w:rsid w:val="00E840E2"/>
    <w:rsid w:val="00E90391"/>
    <w:rsid w:val="00E90D46"/>
    <w:rsid w:val="00EB06CA"/>
    <w:rsid w:val="00EB3441"/>
    <w:rsid w:val="00ED2B96"/>
    <w:rsid w:val="00EE46EE"/>
    <w:rsid w:val="00F1578D"/>
    <w:rsid w:val="00F15D02"/>
    <w:rsid w:val="00F21E5E"/>
    <w:rsid w:val="00F21F0D"/>
    <w:rsid w:val="00F56670"/>
    <w:rsid w:val="00F7552D"/>
    <w:rsid w:val="00F80CAC"/>
    <w:rsid w:val="00F83907"/>
    <w:rsid w:val="00F953B6"/>
    <w:rsid w:val="00FA2998"/>
    <w:rsid w:val="00FA323F"/>
    <w:rsid w:val="00FA429B"/>
    <w:rsid w:val="00FE142A"/>
    <w:rsid w:val="00FE6EA1"/>
    <w:rsid w:val="01EF4FE4"/>
    <w:rsid w:val="02E545CF"/>
    <w:rsid w:val="03476805"/>
    <w:rsid w:val="05B963B0"/>
    <w:rsid w:val="0777261F"/>
    <w:rsid w:val="079972E3"/>
    <w:rsid w:val="08681BA6"/>
    <w:rsid w:val="0F6500AE"/>
    <w:rsid w:val="15EC41DA"/>
    <w:rsid w:val="16012CE8"/>
    <w:rsid w:val="18251A52"/>
    <w:rsid w:val="1C0A7E27"/>
    <w:rsid w:val="1C0B12AF"/>
    <w:rsid w:val="1F383832"/>
    <w:rsid w:val="21044B9D"/>
    <w:rsid w:val="21450C91"/>
    <w:rsid w:val="2381166C"/>
    <w:rsid w:val="24F96CA8"/>
    <w:rsid w:val="28042D57"/>
    <w:rsid w:val="28FC1071"/>
    <w:rsid w:val="29BB23E3"/>
    <w:rsid w:val="2BD13993"/>
    <w:rsid w:val="2F9D0AAC"/>
    <w:rsid w:val="31431EE2"/>
    <w:rsid w:val="31D71407"/>
    <w:rsid w:val="328C6861"/>
    <w:rsid w:val="339577D0"/>
    <w:rsid w:val="37122244"/>
    <w:rsid w:val="372B531C"/>
    <w:rsid w:val="3844628F"/>
    <w:rsid w:val="39CE723C"/>
    <w:rsid w:val="3A6E40ED"/>
    <w:rsid w:val="3AE94FD9"/>
    <w:rsid w:val="3E327C16"/>
    <w:rsid w:val="402819DE"/>
    <w:rsid w:val="429E3216"/>
    <w:rsid w:val="43FB1CC9"/>
    <w:rsid w:val="46A01B66"/>
    <w:rsid w:val="46BB049B"/>
    <w:rsid w:val="493960B2"/>
    <w:rsid w:val="494C4D60"/>
    <w:rsid w:val="4AB633CB"/>
    <w:rsid w:val="4B5B3130"/>
    <w:rsid w:val="4CB02D01"/>
    <w:rsid w:val="4F37130D"/>
    <w:rsid w:val="50C8395B"/>
    <w:rsid w:val="52530863"/>
    <w:rsid w:val="52AA2277"/>
    <w:rsid w:val="531F70F4"/>
    <w:rsid w:val="55390748"/>
    <w:rsid w:val="553C243D"/>
    <w:rsid w:val="56C93F74"/>
    <w:rsid w:val="59EB6C90"/>
    <w:rsid w:val="5CAA0423"/>
    <w:rsid w:val="5F5156AC"/>
    <w:rsid w:val="5F546CFC"/>
    <w:rsid w:val="610E62F8"/>
    <w:rsid w:val="620B4261"/>
    <w:rsid w:val="63345F40"/>
    <w:rsid w:val="655A0F44"/>
    <w:rsid w:val="681873D6"/>
    <w:rsid w:val="688C64CE"/>
    <w:rsid w:val="6AE07204"/>
    <w:rsid w:val="6E784143"/>
    <w:rsid w:val="6E96154E"/>
    <w:rsid w:val="7277650C"/>
    <w:rsid w:val="73B644A9"/>
    <w:rsid w:val="799A1CB7"/>
    <w:rsid w:val="7C0238A0"/>
    <w:rsid w:val="7F5C16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pPr>
    <w:rPr>
      <w:rFonts w:ascii="Times New Roman" w:hAnsi="Times New Roman" w:eastAsia="宋体" w:cs="Times New Roman"/>
      <w:szCs w:val="20"/>
    </w:rPr>
  </w:style>
  <w:style w:type="paragraph" w:styleId="4">
    <w:name w:val="annotation text"/>
    <w:basedOn w:val="1"/>
    <w:link w:val="20"/>
    <w:qFormat/>
    <w:uiPriority w:val="0"/>
    <w:pPr>
      <w:jc w:val="left"/>
    </w:pPr>
    <w:rPr>
      <w:sz w:val="18"/>
      <w:szCs w:val="20"/>
    </w:rPr>
  </w:style>
  <w:style w:type="paragraph" w:styleId="5">
    <w:name w:val="Body Text"/>
    <w:basedOn w:val="1"/>
    <w:next w:val="6"/>
    <w:link w:val="19"/>
    <w:qFormat/>
    <w:uiPriority w:val="0"/>
    <w:rPr>
      <w:rFonts w:ascii="Times New Roman"/>
    </w:rPr>
  </w:style>
  <w:style w:type="paragraph" w:styleId="6">
    <w:name w:val="Body Text First Indent"/>
    <w:basedOn w:val="5"/>
    <w:link w:val="21"/>
    <w:unhideWhenUsed/>
    <w:qFormat/>
    <w:uiPriority w:val="99"/>
    <w:pPr>
      <w:ind w:firstLine="420" w:firstLineChars="100"/>
    </w:pPr>
  </w:style>
  <w:style w:type="paragraph" w:styleId="7">
    <w:name w:val="Body Text Indent"/>
    <w:basedOn w:val="1"/>
    <w:link w:val="18"/>
    <w:qFormat/>
    <w:uiPriority w:val="0"/>
    <w:pPr>
      <w:spacing w:after="120"/>
      <w:ind w:left="420" w:leftChars="200"/>
    </w:pPr>
    <w:rPr>
      <w:rFonts w:ascii="Calibri" w:hAnsi="Calibri" w:eastAsia="宋体" w:cs="Times New Roman"/>
      <w:lang w:val="zh-CN"/>
    </w:rPr>
  </w:style>
  <w:style w:type="paragraph" w:styleId="8">
    <w:name w:val="footer"/>
    <w:basedOn w:val="1"/>
    <w:link w:val="17"/>
    <w:qFormat/>
    <w:uiPriority w:val="0"/>
    <w:pPr>
      <w:tabs>
        <w:tab w:val="center" w:pos="4153"/>
        <w:tab w:val="right" w:pos="8306"/>
      </w:tabs>
      <w:snapToGrid w:val="0"/>
      <w:jc w:val="left"/>
    </w:pPr>
    <w:rPr>
      <w:sz w:val="18"/>
      <w:szCs w:val="18"/>
    </w:rPr>
  </w:style>
  <w:style w:type="paragraph" w:styleId="9">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3">
    <w:name w:val="page number"/>
    <w:qFormat/>
    <w:uiPriority w:val="0"/>
  </w:style>
  <w:style w:type="character" w:styleId="14">
    <w:name w:val="Hyperlink"/>
    <w:basedOn w:val="12"/>
    <w:qFormat/>
    <w:uiPriority w:val="0"/>
    <w:rPr>
      <w:color w:val="0000FF"/>
      <w:u w:val="single"/>
    </w:rPr>
  </w:style>
  <w:style w:type="paragraph" w:customStyle="1" w:styleId="15">
    <w:name w:val="xl51"/>
    <w:basedOn w:val="1"/>
    <w:qFormat/>
    <w:uiPriority w:val="99"/>
    <w:pPr>
      <w:widowControl/>
      <w:pBdr>
        <w:bottom w:val="single" w:color="auto" w:sz="4" w:space="0"/>
      </w:pBdr>
      <w:spacing w:before="100" w:beforeAutospacing="1" w:after="100" w:afterAutospacing="1"/>
      <w:jc w:val="center"/>
      <w:textAlignment w:val="center"/>
    </w:pPr>
    <w:rPr>
      <w:rFonts w:ascii="宋体" w:hAnsi="宋体"/>
      <w:b/>
      <w:bCs/>
      <w:kern w:val="0"/>
      <w:sz w:val="32"/>
      <w:szCs w:val="32"/>
    </w:rPr>
  </w:style>
  <w:style w:type="character" w:customStyle="1" w:styleId="16">
    <w:name w:val="页眉 字符"/>
    <w:basedOn w:val="12"/>
    <w:link w:val="9"/>
    <w:qFormat/>
    <w:uiPriority w:val="0"/>
    <w:rPr>
      <w:rFonts w:asciiTheme="minorHAnsi" w:hAnsiTheme="minorHAnsi" w:eastAsiaTheme="minorEastAsia" w:cstheme="minorBidi"/>
      <w:kern w:val="2"/>
      <w:sz w:val="18"/>
      <w:szCs w:val="18"/>
    </w:rPr>
  </w:style>
  <w:style w:type="character" w:customStyle="1" w:styleId="17">
    <w:name w:val="页脚 字符"/>
    <w:basedOn w:val="12"/>
    <w:link w:val="8"/>
    <w:qFormat/>
    <w:uiPriority w:val="0"/>
    <w:rPr>
      <w:rFonts w:asciiTheme="minorHAnsi" w:hAnsiTheme="minorHAnsi" w:eastAsiaTheme="minorEastAsia" w:cstheme="minorBidi"/>
      <w:kern w:val="2"/>
      <w:sz w:val="18"/>
      <w:szCs w:val="18"/>
    </w:rPr>
  </w:style>
  <w:style w:type="character" w:customStyle="1" w:styleId="18">
    <w:name w:val="正文文本缩进 字符"/>
    <w:basedOn w:val="12"/>
    <w:link w:val="7"/>
    <w:qFormat/>
    <w:uiPriority w:val="0"/>
    <w:rPr>
      <w:rFonts w:ascii="Calibri" w:hAnsi="Calibri"/>
      <w:kern w:val="2"/>
      <w:sz w:val="21"/>
      <w:szCs w:val="24"/>
      <w:lang w:val="zh-CN"/>
    </w:rPr>
  </w:style>
  <w:style w:type="character" w:customStyle="1" w:styleId="19">
    <w:name w:val="正文文本 字符"/>
    <w:basedOn w:val="12"/>
    <w:link w:val="5"/>
    <w:qFormat/>
    <w:uiPriority w:val="99"/>
    <w:rPr>
      <w:rFonts w:hAnsiTheme="minorHAnsi" w:eastAsiaTheme="minorEastAsia" w:cstheme="minorBidi"/>
      <w:kern w:val="2"/>
      <w:sz w:val="21"/>
      <w:szCs w:val="24"/>
    </w:rPr>
  </w:style>
  <w:style w:type="character" w:customStyle="1" w:styleId="20">
    <w:name w:val="批注文字 字符"/>
    <w:link w:val="4"/>
    <w:qFormat/>
    <w:uiPriority w:val="0"/>
    <w:rPr>
      <w:rFonts w:asciiTheme="minorHAnsi" w:hAnsiTheme="minorHAnsi" w:eastAsiaTheme="minorEastAsia" w:cstheme="minorBidi"/>
      <w:kern w:val="2"/>
      <w:sz w:val="18"/>
    </w:rPr>
  </w:style>
  <w:style w:type="character" w:customStyle="1" w:styleId="21">
    <w:name w:val="正文首行缩进 字符"/>
    <w:basedOn w:val="19"/>
    <w:link w:val="6"/>
    <w:qFormat/>
    <w:uiPriority w:val="99"/>
    <w:rPr>
      <w:rFonts w:hAnsiTheme="minorHAnsi" w:eastAsiaTheme="minorEastAsia" w:cstheme="minorBidi"/>
      <w:kern w:val="2"/>
      <w:sz w:val="21"/>
      <w:szCs w:val="24"/>
    </w:rPr>
  </w:style>
  <w:style w:type="paragraph" w:customStyle="1" w:styleId="2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3">
    <w:name w:val="列表段落1"/>
    <w:basedOn w:val="1"/>
    <w:qFormat/>
    <w:uiPriority w:val="99"/>
    <w:pPr>
      <w:ind w:firstLine="420" w:firstLineChars="200"/>
    </w:pPr>
  </w:style>
  <w:style w:type="paragraph" w:customStyle="1" w:styleId="24">
    <w:name w:val="p0"/>
    <w:basedOn w:val="1"/>
    <w:qFormat/>
    <w:uiPriority w:val="99"/>
    <w:pPr>
      <w:widowControl/>
    </w:pPr>
    <w:rPr>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38</Pages>
  <Words>15977</Words>
  <Characters>16977</Characters>
  <Lines>57</Lines>
  <Paragraphs>16</Paragraphs>
  <TotalTime>11</TotalTime>
  <ScaleCrop>false</ScaleCrop>
  <LinksUpToDate>false</LinksUpToDate>
  <CharactersWithSpaces>17304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2021-09-30T09:51:00Z</dcterms:created>
  <dc:creator>隆道-01</dc:creator>
  <cp:lastModifiedBy>微信用户</cp:lastModifiedBy>
  <dcterms:modified xsi:type="dcterms:W3CDTF">2022-11-16T08:46:13Z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32C32F8ABE984716B4BA604C61D9402F</vt:lpwstr>
  </property>
</Properties>
</file>