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left="-424" w:leftChars="-202" w:firstLine="340" w:firstLineChars="141"/>
        <w:jc w:val="right"/>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jc w:val="center"/>
        <w:rPr>
          <w:rFonts w:hint="eastAsia" w:ascii="Calibri" w:hAnsi="Calibri" w:eastAsia="黑体" w:cs="黑体"/>
          <w:color w:val="auto"/>
          <w:spacing w:val="6"/>
          <w:sz w:val="44"/>
          <w:szCs w:val="44"/>
          <w:highlight w:val="none"/>
          <w:lang w:val="en-US" w:eastAsia="zh-CN"/>
        </w:rPr>
      </w:pPr>
      <w:r>
        <w:rPr>
          <w:rFonts w:hint="eastAsia" w:ascii="Calibri" w:hAnsi="Calibri" w:eastAsia="黑体" w:cs="黑体"/>
          <w:color w:val="auto"/>
          <w:spacing w:val="6"/>
          <w:sz w:val="44"/>
          <w:szCs w:val="44"/>
          <w:highlight w:val="none"/>
          <w:lang w:val="en-US" w:eastAsia="zh-CN"/>
        </w:rPr>
        <w:t>四川省精神医学中心分工会委员会账户</w:t>
      </w:r>
    </w:p>
    <w:p>
      <w:pPr>
        <w:jc w:val="center"/>
        <w:rPr>
          <w:rFonts w:hint="eastAsia" w:ascii="Calibri" w:hAnsi="Calibri" w:eastAsia="黑体" w:cs="黑体"/>
          <w:color w:val="auto"/>
          <w:spacing w:val="6"/>
          <w:sz w:val="44"/>
          <w:szCs w:val="44"/>
          <w:highlight w:val="none"/>
          <w:lang w:eastAsia="zh-CN"/>
        </w:rPr>
      </w:pPr>
    </w:p>
    <w:p>
      <w:pPr>
        <w:jc w:val="center"/>
        <w:rPr>
          <w:rFonts w:hint="eastAsia" w:ascii="Calibri" w:hAnsi="Calibri" w:eastAsia="黑体" w:cs="黑体"/>
          <w:color w:val="auto"/>
          <w:spacing w:val="6"/>
          <w:sz w:val="44"/>
          <w:szCs w:val="44"/>
          <w:highlight w:val="none"/>
          <w:lang w:eastAsia="zh-CN"/>
        </w:rPr>
      </w:pPr>
    </w:p>
    <w:p>
      <w:pPr>
        <w:jc w:val="center"/>
        <w:rPr>
          <w:rFonts w:hint="eastAsia" w:ascii="Calibri" w:hAnsi="Calibri" w:eastAsia="黑体" w:cs="黑体"/>
          <w:color w:val="auto"/>
          <w:spacing w:val="6"/>
          <w:sz w:val="44"/>
          <w:szCs w:val="44"/>
          <w:highlight w:val="none"/>
          <w:lang w:eastAsia="zh-CN"/>
        </w:rPr>
      </w:pPr>
      <w:r>
        <w:rPr>
          <w:rFonts w:hint="eastAsia" w:ascii="Calibri" w:hAnsi="Calibri" w:eastAsia="黑体" w:cs="黑体"/>
          <w:color w:val="auto"/>
          <w:spacing w:val="6"/>
          <w:sz w:val="44"/>
          <w:szCs w:val="44"/>
          <w:highlight w:val="none"/>
          <w:lang w:val="en-US" w:eastAsia="zh-CN"/>
        </w:rPr>
        <w:t>比选</w:t>
      </w:r>
      <w:r>
        <w:rPr>
          <w:rFonts w:hint="eastAsia" w:ascii="Calibri" w:hAnsi="Calibri" w:eastAsia="黑体" w:cs="黑体"/>
          <w:color w:val="auto"/>
          <w:spacing w:val="6"/>
          <w:sz w:val="44"/>
          <w:szCs w:val="44"/>
          <w:highlight w:val="none"/>
          <w:lang w:eastAsia="zh-CN"/>
        </w:rPr>
        <w:t>文件</w:t>
      </w:r>
    </w:p>
    <w:p>
      <w:pPr>
        <w:jc w:val="center"/>
        <w:rPr>
          <w:rFonts w:hint="eastAsia" w:ascii="Calibri" w:hAnsi="Calibri" w:eastAsia="黑体" w:cs="黑体"/>
          <w:color w:val="auto"/>
          <w:spacing w:val="6"/>
          <w:sz w:val="44"/>
          <w:szCs w:val="44"/>
          <w:highlight w:val="none"/>
          <w:lang w:eastAsia="zh-CN"/>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bookmarkStart w:id="153" w:name="_GoBack"/>
      <w:bookmarkEnd w:id="153"/>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spacing w:line="360" w:lineRule="auto"/>
        <w:jc w:val="center"/>
        <w:rPr>
          <w:rFonts w:hint="eastAsia" w:ascii="Times New Roman" w:hAnsi="Times New Roman" w:eastAsia="宋体" w:cs="黑体"/>
          <w:b/>
          <w:color w:val="auto"/>
          <w:sz w:val="30"/>
          <w:szCs w:val="22"/>
          <w:highlight w:val="none"/>
          <w:lang w:val="zh-CN"/>
        </w:rPr>
      </w:pPr>
      <w:bookmarkStart w:id="0" w:name="_Hlt101233737"/>
      <w:bookmarkEnd w:id="0"/>
      <w:bookmarkStart w:id="1" w:name="_Hlt101843627"/>
      <w:bookmarkEnd w:id="1"/>
      <w:r>
        <w:rPr>
          <w:rFonts w:hint="eastAsia" w:ascii="Times New Roman" w:hAnsi="Times New Roman" w:eastAsia="宋体" w:cs="黑体"/>
          <w:b/>
          <w:color w:val="auto"/>
          <w:sz w:val="30"/>
          <w:szCs w:val="22"/>
          <w:highlight w:val="none"/>
        </w:rPr>
        <w:t>二0</w:t>
      </w:r>
      <w:r>
        <w:rPr>
          <w:rFonts w:hint="eastAsia" w:ascii="Times New Roman" w:hAnsi="Times New Roman" w:eastAsia="宋体" w:cs="黑体"/>
          <w:b/>
          <w:color w:val="auto"/>
          <w:sz w:val="30"/>
          <w:szCs w:val="22"/>
          <w:highlight w:val="none"/>
          <w:lang w:val="en-US" w:eastAsia="zh-CN"/>
        </w:rPr>
        <w:t>二二</w:t>
      </w:r>
      <w:r>
        <w:rPr>
          <w:rFonts w:hint="eastAsia" w:ascii="Times New Roman" w:hAnsi="Times New Roman" w:eastAsia="宋体" w:cs="黑体"/>
          <w:b/>
          <w:color w:val="auto"/>
          <w:sz w:val="30"/>
          <w:szCs w:val="22"/>
          <w:highlight w:val="none"/>
        </w:rPr>
        <w:t>年</w:t>
      </w:r>
      <w:r>
        <w:rPr>
          <w:rFonts w:hint="eastAsia" w:cs="黑体"/>
          <w:b/>
          <w:color w:val="auto"/>
          <w:sz w:val="30"/>
          <w:szCs w:val="22"/>
          <w:highlight w:val="none"/>
          <w:lang w:val="en-US" w:eastAsia="zh-CN"/>
        </w:rPr>
        <w:t>六</w:t>
      </w:r>
      <w:r>
        <w:rPr>
          <w:rFonts w:hint="eastAsia" w:ascii="Times New Roman" w:hAnsi="Times New Roman" w:eastAsia="宋体" w:cs="黑体"/>
          <w:b/>
          <w:color w:val="auto"/>
          <w:sz w:val="30"/>
          <w:szCs w:val="22"/>
          <w:highlight w:val="none"/>
        </w:rPr>
        <w:t>月</w:t>
      </w:r>
    </w:p>
    <w:p>
      <w:pPr>
        <w:spacing w:line="360" w:lineRule="auto"/>
        <w:ind w:firstLine="2641" w:firstLineChars="1096"/>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pPr>
        <w:pStyle w:val="68"/>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目录</w:t>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"_Toc16507537"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 xml:space="preserve">第一章  </w:t>
      </w:r>
      <w:r>
        <w:rPr>
          <w:rStyle w:val="36"/>
          <w:rFonts w:hint="eastAsia" w:ascii="宋体" w:hAnsi="宋体" w:eastAsia="宋体" w:cs="宋体"/>
          <w:color w:val="auto"/>
          <w:sz w:val="24"/>
          <w:szCs w:val="24"/>
          <w:highlight w:val="none"/>
          <w:lang w:val="en-US" w:eastAsia="zh-CN"/>
        </w:rPr>
        <w:t>比选</w:t>
      </w:r>
      <w:r>
        <w:rPr>
          <w:rStyle w:val="36"/>
          <w:rFonts w:hint="eastAsia" w:ascii="宋体" w:hAnsi="宋体" w:eastAsia="宋体" w:cs="宋体"/>
          <w:color w:val="auto"/>
          <w:sz w:val="24"/>
          <w:szCs w:val="24"/>
          <w:highlight w:val="none"/>
        </w:rPr>
        <w:t>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"_Toc16507538"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第二章  申请人须知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"_Toc16507539"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一、须知前附表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"_Toc16507540"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二、</w:t>
      </w:r>
      <w:r>
        <w:rPr>
          <w:rFonts w:hint="eastAsia" w:ascii="宋体" w:hAnsi="宋体" w:eastAsia="宋体" w:cs="宋体"/>
          <w:b w:val="0"/>
          <w:color w:val="auto"/>
          <w:sz w:val="24"/>
          <w:szCs w:val="24"/>
          <w:highlight w:val="none"/>
          <w:lang w:eastAsia="zh-CN"/>
        </w:rPr>
        <w:t>比选</w:t>
      </w:r>
      <w:r>
        <w:rPr>
          <w:rFonts w:hint="eastAsia" w:ascii="宋体" w:hAnsi="宋体" w:eastAsia="宋体" w:cs="宋体"/>
          <w:b w:val="0"/>
          <w:color w:val="auto"/>
          <w:sz w:val="24"/>
          <w:szCs w:val="24"/>
          <w:highlight w:val="none"/>
        </w:rPr>
        <w:t>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5</w:t>
      </w:r>
    </w:p>
    <w:p>
      <w:pPr>
        <w:pStyle w:val="2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"_Toc16507541"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三、</w:t>
      </w:r>
      <w:r>
        <w:rPr>
          <w:rFonts w:hint="eastAsia" w:ascii="宋体" w:hAnsi="宋体" w:eastAsia="宋体" w:cs="宋体"/>
          <w:b w:val="0"/>
          <w:color w:val="auto"/>
          <w:sz w:val="24"/>
          <w:szCs w:val="24"/>
          <w:highlight w:val="none"/>
        </w:rPr>
        <w:t>入选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5</w:t>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"_Toc16507542"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四、</w:t>
      </w:r>
      <w:r>
        <w:rPr>
          <w:rFonts w:hint="eastAsia" w:ascii="宋体" w:hAnsi="宋体" w:eastAsia="宋体" w:cs="宋体"/>
          <w:b w:val="0"/>
          <w:color w:val="auto"/>
          <w:sz w:val="24"/>
          <w:szCs w:val="24"/>
          <w:highlight w:val="none"/>
        </w:rPr>
        <w:t>协议</w:t>
      </w:r>
      <w:r>
        <w:rPr>
          <w:rFonts w:hint="eastAsia" w:ascii="宋体" w:hAnsi="宋体" w:eastAsia="宋体" w:cs="宋体"/>
          <w:color w:val="auto"/>
          <w:sz w:val="24"/>
          <w:szCs w:val="24"/>
          <w:highlight w:val="none"/>
        </w:rPr>
        <w:tab/>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"_Toc16507547"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第三章  申请人应当提供的资格、资质性及其他类似效力要求的相关证明材料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"_Toc16507548"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第四章  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"_Toc16507549"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 xml:space="preserve">第五章  </w:t>
      </w:r>
      <w:r>
        <w:rPr>
          <w:rStyle w:val="36"/>
          <w:rFonts w:hint="eastAsia" w:ascii="宋体" w:hAnsi="宋体" w:eastAsia="宋体" w:cs="宋体"/>
          <w:color w:val="auto"/>
          <w:sz w:val="24"/>
          <w:szCs w:val="24"/>
          <w:highlight w:val="none"/>
          <w:lang w:val="en-US" w:eastAsia="zh-CN"/>
        </w:rPr>
        <w:t>投标</w:t>
      </w:r>
      <w:r>
        <w:rPr>
          <w:rStyle w:val="36"/>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"_Toc16507550"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一、</w:t>
      </w:r>
      <w:r>
        <w:rPr>
          <w:rStyle w:val="36"/>
          <w:rFonts w:hint="eastAsia" w:ascii="宋体" w:hAnsi="宋体" w:eastAsia="宋体" w:cs="宋体"/>
          <w:color w:val="auto"/>
          <w:sz w:val="24"/>
          <w:szCs w:val="24"/>
          <w:highlight w:val="none"/>
          <w:lang w:val="en-US" w:eastAsia="zh-CN"/>
        </w:rPr>
        <w:t>投标</w:t>
      </w:r>
      <w:r>
        <w:rPr>
          <w:rStyle w:val="36"/>
          <w:rFonts w:hint="eastAsia" w:ascii="宋体" w:hAnsi="宋体" w:eastAsia="宋体" w:cs="宋体"/>
          <w:color w:val="auto"/>
          <w:sz w:val="24"/>
          <w:szCs w:val="24"/>
          <w:highlight w:val="none"/>
        </w:rPr>
        <w:t>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"_Toc16507551"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二、</w:t>
      </w:r>
      <w:r>
        <w:rPr>
          <w:rStyle w:val="36"/>
          <w:rFonts w:hint="eastAsia" w:ascii="宋体" w:hAnsi="宋体" w:eastAsia="宋体" w:cs="宋体"/>
          <w:color w:val="auto"/>
          <w:sz w:val="24"/>
          <w:szCs w:val="24"/>
          <w:highlight w:val="none"/>
          <w:lang w:val="en-US" w:eastAsia="zh-CN"/>
        </w:rPr>
        <w:t>廉政承诺书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"_Toc16507552"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三、</w:t>
      </w:r>
      <w:r>
        <w:rPr>
          <w:rStyle w:val="36"/>
          <w:rFonts w:hint="eastAsia" w:ascii="宋体" w:hAnsi="宋体" w:eastAsia="宋体" w:cs="宋体"/>
          <w:color w:val="auto"/>
          <w:sz w:val="24"/>
          <w:szCs w:val="24"/>
          <w:highlight w:val="none"/>
          <w:lang w:val="en-US" w:eastAsia="zh-CN"/>
        </w:rPr>
        <w:t>结算账户开立综合指标表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12</w:t>
      </w:r>
    </w:p>
    <w:p>
      <w:pPr>
        <w:pStyle w:val="26"/>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"_Toc16507553"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四、资质证书及其他证明材料</w:t>
      </w:r>
      <w:r>
        <w:rPr>
          <w:rFonts w:hint="eastAsia" w:ascii="宋体" w:hAnsi="宋体" w:eastAsia="宋体" w:cs="宋体"/>
          <w:color w:val="auto"/>
          <w:sz w:val="24"/>
          <w:szCs w:val="24"/>
          <w:highlight w:val="none"/>
        </w:rPr>
        <w:tab/>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cs="宋体"/>
          <w:color w:val="auto"/>
          <w:sz w:val="24"/>
          <w:szCs w:val="24"/>
          <w:highlight w:val="none"/>
          <w:lang w:val="en-US" w:eastAsia="zh-CN"/>
        </w:rPr>
        <w:t>6</w:t>
      </w:r>
    </w:p>
    <w:p>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"_Toc16507561"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第六章  评选办法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"_Toc16507562"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一、集体决策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"_Toc16507563"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二、评选程序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"_Toc16507564"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三、评选方法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"_Toc16507565" </w:instrText>
      </w:r>
      <w:r>
        <w:rPr>
          <w:rFonts w:hint="eastAsia" w:ascii="宋体" w:hAnsi="宋体" w:eastAsia="宋体" w:cs="宋体"/>
          <w:color w:val="auto"/>
          <w:sz w:val="24"/>
          <w:szCs w:val="24"/>
          <w:highlight w:val="none"/>
        </w:rPr>
        <w:fldChar w:fldCharType="separate"/>
      </w:r>
      <w:r>
        <w:rPr>
          <w:rStyle w:val="36"/>
          <w:rFonts w:hint="eastAsia" w:ascii="宋体" w:hAnsi="宋体" w:eastAsia="宋体" w:cs="宋体"/>
          <w:color w:val="auto"/>
          <w:sz w:val="24"/>
          <w:szCs w:val="24"/>
          <w:highlight w:val="none"/>
        </w:rPr>
        <w:t>四、评选细则及标准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_Toc16507565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fldChar w:fldCharType="end"/>
      </w:r>
    </w:p>
    <w:p>
      <w:pPr>
        <w:jc w:val="left"/>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 w:name="_Toc513712828"/>
      <w:bookmarkStart w:id="3" w:name="_Toc16507537"/>
      <w:r>
        <w:rPr>
          <w:rFonts w:hint="eastAsia" w:ascii="宋体" w:hAnsi="宋体" w:eastAsia="宋体" w:cs="宋体"/>
          <w:color w:val="auto"/>
          <w:sz w:val="32"/>
          <w:szCs w:val="32"/>
          <w:highlight w:val="none"/>
        </w:rPr>
        <w:t xml:space="preserve">第一章  </w:t>
      </w:r>
      <w:bookmarkEnd w:id="2"/>
      <w:r>
        <w:rPr>
          <w:rFonts w:hint="eastAsia" w:ascii="宋体" w:hAnsi="宋体" w:eastAsia="宋体" w:cs="宋体"/>
          <w:color w:val="auto"/>
          <w:sz w:val="32"/>
          <w:szCs w:val="32"/>
          <w:highlight w:val="none"/>
          <w:lang w:val="en-US" w:eastAsia="zh-CN"/>
        </w:rPr>
        <w:t>比选</w:t>
      </w:r>
      <w:r>
        <w:rPr>
          <w:rFonts w:hint="eastAsia" w:ascii="宋体" w:hAnsi="宋体" w:eastAsia="宋体" w:cs="宋体"/>
          <w:color w:val="auto"/>
          <w:sz w:val="32"/>
          <w:szCs w:val="32"/>
          <w:highlight w:val="none"/>
        </w:rPr>
        <w:t>邀请</w:t>
      </w:r>
      <w:bookmarkEnd w:id="3"/>
    </w:p>
    <w:p>
      <w:pPr>
        <w:rPr>
          <w:rFonts w:hint="eastAsia" w:ascii="宋体" w:hAnsi="宋体" w:eastAsia="宋体" w:cs="宋体"/>
          <w:color w:val="auto"/>
          <w:sz w:val="24"/>
          <w:szCs w:val="24"/>
          <w:highlight w:val="none"/>
        </w:rPr>
      </w:pPr>
    </w:p>
    <w:p>
      <w:pPr>
        <w:widowControl/>
        <w:spacing w:before="120" w:beforeLines="50" w:after="120" w:afterLines="5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四川省精神医学中心</w:t>
      </w:r>
      <w:r>
        <w:rPr>
          <w:rFonts w:hint="eastAsia" w:ascii="宋体" w:hAnsi="宋体" w:eastAsia="宋体" w:cs="宋体"/>
          <w:color w:val="auto"/>
          <w:sz w:val="24"/>
          <w:szCs w:val="24"/>
          <w:highlight w:val="none"/>
        </w:rPr>
        <w:t>拟对</w:t>
      </w:r>
      <w:r>
        <w:rPr>
          <w:rFonts w:hint="eastAsia" w:ascii="宋体" w:hAnsi="宋体" w:eastAsia="宋体" w:cs="宋体"/>
          <w:color w:val="auto"/>
          <w:sz w:val="24"/>
          <w:szCs w:val="24"/>
          <w:highlight w:val="none"/>
          <w:u w:val="single"/>
          <w:lang w:val="en-US" w:eastAsia="zh-CN"/>
        </w:rPr>
        <w:t>四川省精神医学中心分工会委员会账户</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，特邀请符合本项目要求的银行业金融机构参与。</w:t>
      </w:r>
    </w:p>
    <w:p>
      <w:pPr>
        <w:widowControl/>
        <w:numPr>
          <w:ilvl w:val="0"/>
          <w:numId w:val="2"/>
        </w:numPr>
        <w:spacing w:before="120" w:beforeLines="50" w:after="120" w:afterLines="50" w:line="360" w:lineRule="auto"/>
        <w:ind w:firstLine="482"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u w:val="none"/>
          <w:lang w:val="en-US" w:eastAsia="zh-CN"/>
        </w:rPr>
        <w:t>四川省精神医学中心分工会委员会资金存放银行比选项目</w:t>
      </w:r>
    </w:p>
    <w:p>
      <w:pPr>
        <w:widowControl/>
        <w:numPr>
          <w:ilvl w:val="0"/>
          <w:numId w:val="0"/>
        </w:numPr>
        <w:spacing w:before="120" w:beforeLines="50" w:after="120" w:afterLines="5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项目简介：</w:t>
      </w:r>
    </w:p>
    <w:p>
      <w:pPr>
        <w:widowControl/>
        <w:spacing w:before="120" w:beforeLines="50" w:after="120" w:afterLines="50" w:line="360" w:lineRule="auto"/>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根据《四川省财政厅关于印发&lt;四川省财政部门和预算单位资金存放管理实施办法&gt;的通知》（川财规〔2018〕17号）相关规定，拟通过公开竞争的方式选择一家同城银行（温江范围）作为</w:t>
      </w:r>
      <w:r>
        <w:rPr>
          <w:rFonts w:hint="eastAsia" w:ascii="宋体" w:hAnsi="宋体" w:eastAsia="宋体" w:cs="宋体"/>
          <w:color w:val="auto"/>
          <w:sz w:val="24"/>
          <w:szCs w:val="24"/>
          <w:highlight w:val="none"/>
          <w:lang w:val="en-US" w:eastAsia="zh-CN"/>
        </w:rPr>
        <w:t>四川省精神医学中心分工会委员会</w:t>
      </w:r>
      <w:r>
        <w:rPr>
          <w:rFonts w:hint="eastAsia" w:ascii="宋体" w:hAnsi="宋体" w:eastAsia="宋体" w:cs="宋体"/>
          <w:color w:val="auto"/>
          <w:sz w:val="24"/>
          <w:szCs w:val="24"/>
          <w:highlight w:val="none"/>
        </w:rPr>
        <w:t>资金存放银行（资金存放银行是指在中华人民共和国境内依法设立的商业银行、农村信用合作社、农村合作银行等吸收公众存款的银行业金融机构）</w:t>
      </w:r>
      <w:r>
        <w:rPr>
          <w:rFonts w:hint="eastAsia" w:ascii="宋体" w:hAnsi="宋体" w:cs="宋体"/>
          <w:color w:val="auto"/>
          <w:sz w:val="24"/>
          <w:szCs w:val="24"/>
          <w:highlight w:val="none"/>
          <w:lang w:eastAsia="zh-CN"/>
        </w:rPr>
        <w:t>。</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、申请人基本资格要求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（一）依法开展经营活动，近3年内在经营活动中无违法、重大违规记录，且上年度在当地（项目所在地）人民银行分支机构综合评价等级为</w:t>
      </w: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rPr>
        <w:t>等及以上；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（二）财务稳健，资本充足率、不良贷款率、拨备覆盖率、流动性覆盖率、流动性比例等指标达到监管标准；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（三）内部管理机制健全，具有较强的风险控制能力，近3年内未发生金融风险及重大违约事件；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（四）廉洁承诺书（内容至少包含不得向资金存放主体相关负责人员输送任何利益，不得将资金存放与资金存放主体相关负责人员在本行亲属的业绩、收入挂钩等要素）；</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（五）不接受联合体。</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资格审查</w:t>
      </w:r>
    </w:p>
    <w:p>
      <w:pPr>
        <w:spacing w:line="360" w:lineRule="auto"/>
        <w:ind w:firstLine="480" w:firstLineChars="200"/>
        <w:rPr>
          <w:rFonts w:hint="eastAsia" w:ascii="宋体" w:hAnsi="宋体" w:eastAsia="宋体" w:cs="宋体"/>
          <w:color w:val="auto"/>
          <w:sz w:val="24"/>
          <w:szCs w:val="24"/>
          <w:highlight w:val="none"/>
          <w:lang w:val="en-US" w:eastAsia="zh-CN"/>
        </w:rPr>
      </w:pPr>
      <w:bookmarkStart w:id="4" w:name="PO_默认文件内容_15"/>
      <w:r>
        <w:rPr>
          <w:rFonts w:hint="eastAsia" w:ascii="宋体" w:hAnsi="宋体" w:eastAsia="宋体" w:cs="宋体"/>
          <w:color w:val="auto"/>
          <w:sz w:val="24"/>
          <w:szCs w:val="24"/>
          <w:highlight w:val="none"/>
        </w:rPr>
        <w:t>申请人应在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附上人民银行分支机构综合评价等级资格证明文件，</w:t>
      </w:r>
      <w:r>
        <w:rPr>
          <w:rFonts w:hint="eastAsia" w:ascii="宋体" w:hAnsi="宋体" w:eastAsia="宋体" w:cs="宋体"/>
          <w:bCs/>
          <w:color w:val="auto"/>
          <w:sz w:val="24"/>
          <w:szCs w:val="24"/>
          <w:highlight w:val="none"/>
        </w:rPr>
        <w:t>要求提供的复印件必须加盖申请人公章。若提供的</w:t>
      </w:r>
      <w:r>
        <w:rPr>
          <w:rFonts w:hint="eastAsia" w:ascii="宋体" w:hAnsi="宋体" w:eastAsia="宋体" w:cs="宋体"/>
          <w:color w:val="auto"/>
          <w:sz w:val="24"/>
          <w:szCs w:val="24"/>
          <w:highlight w:val="none"/>
          <w:lang w:val="en-US" w:eastAsia="zh-CN"/>
        </w:rPr>
        <w:t>数据指标或</w:t>
      </w: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val="en-US" w:eastAsia="zh-CN"/>
        </w:rPr>
        <w:t>文件不全或经查不实，将导致其参与资格被取消。</w:t>
      </w:r>
    </w:p>
    <w:bookmarkEnd w:id="4"/>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比选起止时间</w:t>
      </w:r>
      <w:r>
        <w:rPr>
          <w:rFonts w:hint="eastAsia" w:ascii="宋体" w:hAnsi="宋体" w:eastAsia="宋体" w:cs="宋体"/>
          <w:b/>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w:t>
      </w:r>
      <w:r>
        <w:rPr>
          <w:rFonts w:hint="eastAsia" w:ascii="宋体" w:hAnsi="宋体" w:eastAsia="宋体" w:cs="宋体"/>
          <w:color w:val="auto"/>
          <w:sz w:val="24"/>
          <w:szCs w:val="24"/>
          <w:highlight w:val="none"/>
          <w:lang w:val="en-US" w:eastAsia="zh-CN"/>
        </w:rPr>
        <w:t>022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本公告发布之日起，</w:t>
      </w:r>
      <w:r>
        <w:rPr>
          <w:rFonts w:hint="eastAsia" w:ascii="宋体" w:hAnsi="宋体" w:eastAsia="宋体" w:cs="宋体"/>
          <w:color w:val="auto"/>
          <w:sz w:val="24"/>
          <w:szCs w:val="24"/>
          <w:highlight w:val="none"/>
        </w:rPr>
        <w:t>至20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截止，参与比选的金融机构可递交比选文件。</w:t>
      </w:r>
      <w:bookmarkStart w:id="5" w:name="PO_默认文件内容_47"/>
    </w:p>
    <w:bookmarkEnd w:id="5"/>
    <w:p>
      <w:pPr>
        <w:spacing w:line="360" w:lineRule="auto"/>
        <w:ind w:firstLine="482"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评选会议时间：</w:t>
      </w:r>
      <w:r>
        <w:rPr>
          <w:rFonts w:hint="eastAsia" w:ascii="宋体" w:hAnsi="宋体" w:eastAsia="宋体" w:cs="宋体"/>
          <w:b w:val="0"/>
          <w:bCs/>
          <w:color w:val="auto"/>
          <w:sz w:val="24"/>
          <w:szCs w:val="24"/>
          <w:highlight w:val="none"/>
        </w:rPr>
        <w:t>20</w:t>
      </w: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月</w:t>
      </w: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rPr>
        <w:t>日</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比选结果将在</w:t>
      </w:r>
      <w:r>
        <w:rPr>
          <w:rFonts w:hint="eastAsia" w:ascii="宋体" w:hAnsi="宋体" w:cs="宋体"/>
          <w:b/>
          <w:color w:val="auto"/>
          <w:sz w:val="24"/>
          <w:szCs w:val="24"/>
          <w:highlight w:val="none"/>
          <w:lang w:val="en-US" w:eastAsia="zh-CN"/>
        </w:rPr>
        <w:t>四川省精神医学中心</w:t>
      </w:r>
      <w:r>
        <w:rPr>
          <w:rFonts w:hint="eastAsia" w:ascii="宋体" w:hAnsi="宋体" w:eastAsia="宋体" w:cs="宋体"/>
          <w:b/>
          <w:color w:val="auto"/>
          <w:sz w:val="24"/>
          <w:szCs w:val="24"/>
          <w:highlight w:val="none"/>
        </w:rPr>
        <w:t>门户网站（http://www.scsjsyxzx.com/）以公告形式发布</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、联系方式</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资金存放主体：四川省精神医学中心分工会委员会</w:t>
      </w:r>
    </w:p>
    <w:p>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val="en-US" w:eastAsia="zh-CN"/>
        </w:rPr>
        <w:t>成都市温江区芙蓉大道二段33号 行政楼5楼财务办公室</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val="en-US" w:eastAsia="zh-CN"/>
        </w:rPr>
        <w:t>伍老师</w:t>
      </w:r>
    </w:p>
    <w:p>
      <w:pPr>
        <w:spacing w:line="360" w:lineRule="auto"/>
        <w:ind w:firstLine="480"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028-81020016</w:t>
      </w:r>
    </w:p>
    <w:p>
      <w:pPr>
        <w:widowControl/>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rPr>
          <w:rFonts w:hint="eastAsia" w:ascii="宋体" w:hAnsi="宋体" w:eastAsia="宋体" w:cs="宋体"/>
          <w:color w:val="auto"/>
          <w:sz w:val="32"/>
          <w:szCs w:val="32"/>
          <w:highlight w:val="none"/>
        </w:rPr>
      </w:pPr>
      <w:bookmarkStart w:id="6" w:name="_Toc213397009"/>
      <w:bookmarkStart w:id="7" w:name="_Toc217446031"/>
      <w:bookmarkStart w:id="8" w:name="_Toc16507538"/>
      <w:bookmarkStart w:id="9" w:name="_Toc213496267"/>
      <w:bookmarkStart w:id="10" w:name="_Toc513712829"/>
      <w:bookmarkStart w:id="11" w:name="_Toc213396945"/>
      <w:bookmarkStart w:id="12" w:name="_Toc213396759"/>
      <w:r>
        <w:rPr>
          <w:rFonts w:hint="eastAsia" w:ascii="宋体" w:hAnsi="宋体" w:eastAsia="宋体" w:cs="宋体"/>
          <w:color w:val="auto"/>
          <w:sz w:val="32"/>
          <w:szCs w:val="32"/>
          <w:highlight w:val="none"/>
        </w:rPr>
        <w:t>第二章  申请人须知</w:t>
      </w:r>
      <w:bookmarkEnd w:id="6"/>
      <w:bookmarkEnd w:id="7"/>
      <w:bookmarkEnd w:id="8"/>
      <w:bookmarkEnd w:id="9"/>
      <w:bookmarkEnd w:id="10"/>
      <w:bookmarkEnd w:id="11"/>
      <w:bookmarkEnd w:id="12"/>
    </w:p>
    <w:p>
      <w:pPr>
        <w:pStyle w:val="5"/>
        <w:spacing w:line="240" w:lineRule="atLeast"/>
        <w:rPr>
          <w:rFonts w:hint="eastAsia" w:ascii="宋体" w:hAnsi="宋体" w:eastAsia="宋体" w:cs="宋体"/>
          <w:b w:val="0"/>
          <w:color w:val="auto"/>
          <w:sz w:val="24"/>
          <w:szCs w:val="24"/>
          <w:highlight w:val="none"/>
        </w:rPr>
      </w:pPr>
      <w:bookmarkStart w:id="13" w:name="_Toc16507539"/>
      <w:r>
        <w:rPr>
          <w:rFonts w:hint="eastAsia" w:ascii="宋体" w:hAnsi="宋体" w:eastAsia="宋体" w:cs="宋体"/>
          <w:b w:val="0"/>
          <w:color w:val="auto"/>
          <w:sz w:val="24"/>
          <w:szCs w:val="24"/>
          <w:highlight w:val="none"/>
        </w:rPr>
        <w:t>一、须知前附表</w:t>
      </w:r>
      <w:bookmarkEnd w:id="13"/>
    </w:p>
    <w:tbl>
      <w:tblPr>
        <w:tblStyle w:val="31"/>
        <w:tblW w:w="90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04"/>
        <w:gridCol w:w="1504"/>
        <w:gridCol w:w="69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04" w:type="dxa"/>
            <w:vAlign w:val="center"/>
          </w:tcPr>
          <w:p>
            <w:pPr>
              <w:pStyle w:val="7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504" w:type="dxa"/>
            <w:vAlign w:val="center"/>
          </w:tcPr>
          <w:p>
            <w:pPr>
              <w:pStyle w:val="7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应知事项</w:t>
            </w:r>
          </w:p>
        </w:tc>
        <w:tc>
          <w:tcPr>
            <w:tcW w:w="6997" w:type="dxa"/>
            <w:vAlign w:val="center"/>
          </w:tcPr>
          <w:p>
            <w:pPr>
              <w:pStyle w:val="7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1</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资金存放主体</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四川省精神医学中心分工会委员会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2</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四川省精神医学中心分工会委员会资金存放银行比选项目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3</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项目方式</w:t>
            </w:r>
          </w:p>
        </w:tc>
        <w:tc>
          <w:tcPr>
            <w:tcW w:w="6997" w:type="dxa"/>
            <w:vAlign w:val="center"/>
          </w:tcPr>
          <w:p>
            <w:pPr>
              <w:pStyle w:val="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4</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评选方法</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5</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参选保证金</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6</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履约保证金</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7</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zh-CN"/>
              </w:rPr>
              <w:t>文件份数</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zh-CN"/>
              </w:rPr>
            </w:pPr>
            <w:r>
              <w:rPr>
                <w:rFonts w:hint="eastAsia" w:ascii="宋体" w:hAnsi="宋体" w:eastAsia="宋体" w:cs="宋体"/>
                <w:i w:val="0"/>
                <w:color w:val="auto"/>
                <w:kern w:val="0"/>
                <w:sz w:val="24"/>
                <w:szCs w:val="24"/>
                <w:highlight w:val="none"/>
                <w:u w:val="none"/>
                <w:lang w:val="en-US" w:eastAsia="zh-CN" w:bidi="ar"/>
              </w:rPr>
              <w:t>8</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zh-CN"/>
              </w:rPr>
              <w:t>文件密封</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所有</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zh-CN"/>
              </w:rPr>
              <w:t>文件密封包装在一个密封袋内。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zh-CN"/>
              </w:rPr>
              <w:t>文件封面的标注</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相应</w:t>
            </w:r>
            <w:r>
              <w:rPr>
                <w:rFonts w:hint="eastAsia" w:ascii="宋体" w:hAnsi="宋体" w:eastAsia="宋体" w:cs="宋体"/>
                <w:color w:val="auto"/>
                <w:sz w:val="24"/>
                <w:szCs w:val="24"/>
                <w:highlight w:val="none"/>
                <w:lang w:val="zh-CN"/>
              </w:rPr>
              <w:t>文件正本和副本的封面上均应标明：项目名称、申请人名称、年月日；标明“正本”和“副本”字样。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10</w:t>
            </w:r>
          </w:p>
        </w:tc>
        <w:tc>
          <w:tcPr>
            <w:tcW w:w="1504" w:type="dxa"/>
            <w:vAlign w:val="center"/>
          </w:tcPr>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zh-CN"/>
              </w:rPr>
              <w:t>文件外层</w:t>
            </w:r>
          </w:p>
          <w:p>
            <w:pPr>
              <w:pStyle w:val="70"/>
              <w:ind w:left="3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密封袋的标注</w:t>
            </w:r>
          </w:p>
        </w:tc>
        <w:tc>
          <w:tcPr>
            <w:tcW w:w="6997" w:type="dxa"/>
            <w:vAlign w:val="center"/>
          </w:tcPr>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项目名称、申请人名称、年月日。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jc w:val="center"/>
        </w:trPr>
        <w:tc>
          <w:tcPr>
            <w:tcW w:w="504"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11</w:t>
            </w:r>
          </w:p>
        </w:tc>
        <w:tc>
          <w:tcPr>
            <w:tcW w:w="1504" w:type="dxa"/>
            <w:vAlign w:val="center"/>
          </w:tcPr>
          <w:p>
            <w:pPr>
              <w:pStyle w:val="70"/>
              <w:ind w:left="3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比选结果通知</w:t>
            </w:r>
          </w:p>
        </w:tc>
        <w:tc>
          <w:tcPr>
            <w:tcW w:w="6997" w:type="dxa"/>
            <w:vAlign w:val="center"/>
          </w:tcPr>
          <w:p>
            <w:pPr>
              <w:pStyle w:val="70"/>
              <w:rPr>
                <w:rFonts w:hint="eastAsia" w:ascii="宋体" w:hAnsi="宋体" w:eastAsia="宋体" w:cs="宋体"/>
                <w:color w:val="auto"/>
                <w:sz w:val="24"/>
                <w:szCs w:val="24"/>
                <w:highlight w:val="none"/>
                <w:lang w:val="zh-CN"/>
              </w:rPr>
            </w:pPr>
            <w:bookmarkStart w:id="14" w:name="PO_默认文件内容_16"/>
            <w:r>
              <w:rPr>
                <w:rFonts w:hint="eastAsia" w:ascii="宋体" w:hAnsi="宋体" w:eastAsia="宋体" w:cs="宋体"/>
                <w:color w:val="auto"/>
                <w:sz w:val="24"/>
                <w:szCs w:val="24"/>
                <w:highlight w:val="none"/>
                <w:lang w:val="zh-CN"/>
              </w:rPr>
              <w:t>资金存放主体根据</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lang w:val="zh-CN"/>
              </w:rPr>
              <w:t>评分结果择优确定入选银行，并将评选结果在</w:t>
            </w:r>
            <w:r>
              <w:rPr>
                <w:rFonts w:hint="eastAsia" w:ascii="宋体" w:hAnsi="宋体" w:eastAsia="宋体" w:cs="宋体"/>
                <w:color w:val="auto"/>
                <w:sz w:val="24"/>
                <w:szCs w:val="24"/>
                <w:highlight w:val="none"/>
                <w:lang w:val="en-US" w:eastAsia="zh-CN"/>
              </w:rPr>
              <w:t>四川省精神医学中心门户网站（http://www.scsjsyxzx.com/）</w:t>
            </w:r>
            <w:r>
              <w:rPr>
                <w:rFonts w:hint="eastAsia" w:ascii="宋体" w:hAnsi="宋体" w:eastAsia="宋体" w:cs="宋体"/>
                <w:color w:val="auto"/>
                <w:sz w:val="24"/>
                <w:szCs w:val="24"/>
                <w:highlight w:val="none"/>
                <w:lang w:val="zh-CN"/>
              </w:rPr>
              <w:t>上进行公告</w:t>
            </w:r>
          </w:p>
          <w:bookmarkEnd w:id="14"/>
          <w:p>
            <w:pPr>
              <w:pStyle w:val="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cs="宋体"/>
                <w:color w:val="auto"/>
                <w:sz w:val="24"/>
                <w:szCs w:val="24"/>
                <w:highlight w:val="none"/>
                <w:lang w:val="en-US" w:eastAsia="zh-CN"/>
              </w:rPr>
              <w:t>伍老师</w:t>
            </w:r>
          </w:p>
          <w:p>
            <w:pPr>
              <w:pStyle w:val="7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028-81020016</w:t>
            </w:r>
          </w:p>
          <w:p>
            <w:pPr>
              <w:pStyle w:val="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lang w:val="en-US" w:eastAsia="zh-CN"/>
              </w:rPr>
              <w:t>成都市温江区芙蓉大道二段33号</w:t>
            </w:r>
          </w:p>
        </w:tc>
      </w:tr>
    </w:tbl>
    <w:p>
      <w:pPr>
        <w:pStyle w:val="5"/>
        <w:spacing w:line="360" w:lineRule="auto"/>
        <w:rPr>
          <w:rFonts w:hint="eastAsia" w:ascii="宋体" w:hAnsi="宋体" w:eastAsia="宋体" w:cs="宋体"/>
          <w:b w:val="0"/>
          <w:color w:val="auto"/>
          <w:sz w:val="24"/>
          <w:szCs w:val="24"/>
          <w:highlight w:val="none"/>
        </w:rPr>
      </w:pPr>
      <w:bookmarkStart w:id="15" w:name="_Toc217446042"/>
      <w:bookmarkStart w:id="16" w:name="_Toc77400780"/>
      <w:bookmarkStart w:id="17" w:name="_Toc89075876"/>
      <w:bookmarkStart w:id="18" w:name="_Toc183682351"/>
      <w:bookmarkStart w:id="19" w:name="_Toc183582214"/>
      <w:bookmarkStart w:id="20" w:name="_Toc16507542"/>
      <w:bookmarkStart w:id="21" w:name="PO_默认文件内容_24"/>
      <w:r>
        <w:rPr>
          <w:rFonts w:hint="eastAsia" w:ascii="宋体" w:hAnsi="宋体" w:eastAsia="宋体" w:cs="宋体"/>
          <w:b w:val="0"/>
          <w:color w:val="auto"/>
          <w:sz w:val="24"/>
          <w:szCs w:val="24"/>
          <w:highlight w:val="none"/>
          <w:lang w:eastAsia="zh-CN"/>
        </w:rPr>
        <w:t>二</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比选</w:t>
      </w:r>
      <w:r>
        <w:rPr>
          <w:rFonts w:hint="eastAsia" w:ascii="宋体" w:hAnsi="宋体" w:eastAsia="宋体" w:cs="宋体"/>
          <w:b w:val="0"/>
          <w:color w:val="auto"/>
          <w:sz w:val="24"/>
          <w:szCs w:val="24"/>
          <w:highlight w:val="none"/>
        </w:rPr>
        <w:t>文件</w:t>
      </w:r>
      <w:bookmarkEnd w:id="15"/>
      <w:bookmarkEnd w:id="16"/>
      <w:bookmarkEnd w:id="17"/>
      <w:bookmarkEnd w:id="18"/>
      <w:bookmarkEnd w:id="19"/>
      <w:bookmarkEnd w:id="20"/>
    </w:p>
    <w:p>
      <w:pPr>
        <w:tabs>
          <w:tab w:val="left" w:pos="7665"/>
        </w:tabs>
        <w:spacing w:line="360" w:lineRule="auto"/>
        <w:ind w:firstLine="482" w:firstLineChars="200"/>
        <w:rPr>
          <w:rFonts w:hint="eastAsia" w:ascii="宋体" w:hAnsi="宋体" w:eastAsia="宋体" w:cs="宋体"/>
          <w:b/>
          <w:color w:val="auto"/>
          <w:sz w:val="24"/>
          <w:szCs w:val="24"/>
          <w:highlight w:val="none"/>
        </w:rPr>
      </w:pPr>
      <w:bookmarkStart w:id="22" w:name="_Toc513713473"/>
      <w:bookmarkStart w:id="23" w:name="_Toc513933650"/>
      <w:bookmarkStart w:id="24" w:name="_Toc513931158"/>
      <w:bookmarkStart w:id="25" w:name="_Toc514074384"/>
      <w:bookmarkStart w:id="26" w:name="_Toc513714590"/>
      <w:bookmarkStart w:id="27" w:name="_Toc513763581"/>
      <w:bookmarkStart w:id="28" w:name="_Toc183582215"/>
      <w:bookmarkStart w:id="29" w:name="_Toc183682352"/>
      <w:bookmarkStart w:id="30" w:name="_Toc217446043"/>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比选</w:t>
      </w:r>
      <w:r>
        <w:rPr>
          <w:rFonts w:hint="eastAsia" w:ascii="宋体" w:hAnsi="宋体" w:eastAsia="宋体" w:cs="宋体"/>
          <w:b/>
          <w:color w:val="auto"/>
          <w:sz w:val="24"/>
          <w:szCs w:val="24"/>
          <w:highlight w:val="none"/>
        </w:rPr>
        <w:t>文件的组成</w:t>
      </w:r>
      <w:bookmarkEnd w:id="22"/>
      <w:bookmarkEnd w:id="23"/>
      <w:bookmarkEnd w:id="24"/>
      <w:bookmarkEnd w:id="25"/>
      <w:bookmarkEnd w:id="26"/>
      <w:bookmarkEnd w:id="27"/>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申请人应按照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文件的规定和要求编制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pPr>
        <w:tabs>
          <w:tab w:val="left" w:pos="7665"/>
        </w:tabs>
        <w:spacing w:line="360" w:lineRule="auto"/>
        <w:ind w:firstLine="482" w:firstLineChars="200"/>
        <w:rPr>
          <w:rFonts w:hint="eastAsia" w:ascii="宋体" w:hAnsi="宋体" w:eastAsia="宋体" w:cs="宋体"/>
          <w:b/>
          <w:color w:val="auto"/>
          <w:sz w:val="24"/>
          <w:szCs w:val="24"/>
          <w:highlight w:val="none"/>
        </w:rPr>
      </w:pPr>
      <w:bookmarkStart w:id="31" w:name="_Toc514074385"/>
      <w:bookmarkStart w:id="32" w:name="_Toc513931159"/>
      <w:bookmarkStart w:id="33" w:name="_Toc513933651"/>
      <w:bookmarkStart w:id="34" w:name="_Toc513763582"/>
      <w:bookmarkStart w:id="35" w:name="_Toc513714591"/>
      <w:bookmarkStart w:id="36" w:name="_Toc513713474"/>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文件的语言</w:t>
      </w:r>
      <w:bookmarkEnd w:id="28"/>
      <w:bookmarkEnd w:id="29"/>
      <w:bookmarkEnd w:id="30"/>
      <w:bookmarkEnd w:id="31"/>
      <w:bookmarkEnd w:id="32"/>
      <w:bookmarkEnd w:id="33"/>
      <w:bookmarkEnd w:id="34"/>
      <w:bookmarkEnd w:id="35"/>
      <w:bookmarkEnd w:id="36"/>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1.申请人提交</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w:t>
      </w:r>
      <w:r>
        <w:rPr>
          <w:rFonts w:hint="eastAsia" w:ascii="宋体" w:hAnsi="宋体" w:eastAsia="宋体" w:cs="宋体"/>
          <w:color w:val="auto"/>
          <w:sz w:val="24"/>
          <w:szCs w:val="24"/>
          <w:highlight w:val="none"/>
        </w:rPr>
        <w:t>件以及申请人与本项目资金存放主体的所有来往书面文件均须使用中文。</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如附有外文资料，必须逐一对应翻译成中文并加盖申请人公章后附在相关外文资料后面，否则，所提供的外文资料可视为无效材料。翻译的中文资料与外文资料如果出现差异和矛盾时，以中文为准。但不能故意错误翻译，否则，所提供的外文资料将视为无效材料。</w:t>
      </w:r>
    </w:p>
    <w:p>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3.外文资料如因未翻译而造成的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文件无效风险，由申请人承担。</w:t>
      </w:r>
    </w:p>
    <w:p>
      <w:pPr>
        <w:tabs>
          <w:tab w:val="left" w:pos="7665"/>
        </w:tabs>
        <w:spacing w:line="360" w:lineRule="auto"/>
        <w:ind w:firstLine="482" w:firstLineChars="200"/>
        <w:rPr>
          <w:rFonts w:hint="eastAsia" w:ascii="宋体" w:hAnsi="宋体" w:eastAsia="宋体" w:cs="宋体"/>
          <w:b/>
          <w:color w:val="auto"/>
          <w:sz w:val="24"/>
          <w:szCs w:val="24"/>
          <w:highlight w:val="none"/>
        </w:rPr>
      </w:pPr>
      <w:bookmarkStart w:id="37" w:name="_Toc217446044"/>
      <w:bookmarkStart w:id="38" w:name="_Toc514074386"/>
      <w:bookmarkStart w:id="39" w:name="_Toc183682353"/>
      <w:bookmarkStart w:id="40" w:name="_Toc513713475"/>
      <w:bookmarkStart w:id="41" w:name="_Toc513714592"/>
      <w:bookmarkStart w:id="42" w:name="_Toc513931160"/>
      <w:bookmarkStart w:id="43" w:name="_Toc513933652"/>
      <w:bookmarkStart w:id="44" w:name="_Toc513763583"/>
      <w:bookmarkStart w:id="45" w:name="_Toc183582216"/>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）计量单位</w:t>
      </w:r>
      <w:bookmarkEnd w:id="37"/>
      <w:bookmarkEnd w:id="38"/>
      <w:bookmarkEnd w:id="39"/>
      <w:bookmarkEnd w:id="40"/>
      <w:bookmarkEnd w:id="41"/>
      <w:bookmarkEnd w:id="42"/>
      <w:bookmarkEnd w:id="43"/>
      <w:bookmarkEnd w:id="44"/>
      <w:bookmarkEnd w:id="45"/>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除本文件另有规定外，本</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项目下的所有</w:t>
      </w:r>
      <w:r>
        <w:rPr>
          <w:rFonts w:hint="eastAsia" w:ascii="宋体" w:hAnsi="宋体" w:eastAsia="宋体" w:cs="宋体"/>
          <w:color w:val="auto"/>
          <w:sz w:val="24"/>
          <w:szCs w:val="24"/>
          <w:highlight w:val="none"/>
          <w:lang w:eastAsia="zh-CN"/>
        </w:rPr>
        <w:t>数据</w:t>
      </w:r>
      <w:r>
        <w:rPr>
          <w:rFonts w:hint="eastAsia" w:ascii="宋体" w:hAnsi="宋体" w:eastAsia="宋体" w:cs="宋体"/>
          <w:color w:val="auto"/>
          <w:sz w:val="24"/>
          <w:szCs w:val="24"/>
          <w:highlight w:val="none"/>
        </w:rPr>
        <w:t>均采用国家法定的计量单位。</w:t>
      </w:r>
    </w:p>
    <w:p>
      <w:pPr>
        <w:spacing w:line="360" w:lineRule="auto"/>
        <w:ind w:firstLine="472" w:firstLineChars="196"/>
        <w:rPr>
          <w:rFonts w:hint="eastAsia" w:ascii="宋体" w:hAnsi="宋体" w:eastAsia="宋体" w:cs="宋体"/>
          <w:b/>
          <w:color w:val="auto"/>
          <w:sz w:val="24"/>
          <w:szCs w:val="24"/>
          <w:highlight w:val="none"/>
        </w:rPr>
      </w:pPr>
      <w:bookmarkStart w:id="46" w:name="_Toc217446051"/>
      <w:bookmarkStart w:id="47" w:name="_Toc183682361"/>
      <w:bookmarkStart w:id="48" w:name="_Toc183582224"/>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相应</w:t>
      </w:r>
      <w:r>
        <w:rPr>
          <w:rFonts w:hint="eastAsia" w:ascii="宋体" w:hAnsi="宋体" w:eastAsia="宋体" w:cs="宋体"/>
          <w:b/>
          <w:color w:val="auto"/>
          <w:sz w:val="24"/>
          <w:szCs w:val="24"/>
          <w:highlight w:val="none"/>
        </w:rPr>
        <w:t>文件的编制和签署</w:t>
      </w:r>
    </w:p>
    <w:p>
      <w:pPr>
        <w:spacing w:line="360" w:lineRule="auto"/>
        <w:ind w:firstLine="468" w:firstLineChars="195"/>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一式</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份</w:t>
      </w:r>
      <w:r>
        <w:rPr>
          <w:rFonts w:hint="eastAsia" w:ascii="宋体" w:hAnsi="宋体" w:eastAsia="宋体" w:cs="宋体"/>
          <w:bCs/>
          <w:color w:val="auto"/>
          <w:sz w:val="24"/>
          <w:szCs w:val="24"/>
          <w:highlight w:val="none"/>
        </w:rPr>
        <w:t>，并在其封面上清楚地标明项目名称、申请人名称、年月日</w:t>
      </w:r>
      <w:r>
        <w:rPr>
          <w:rFonts w:hint="eastAsia" w:ascii="宋体" w:hAnsi="宋体" w:eastAsia="宋体" w:cs="宋体"/>
          <w:bCs/>
          <w:color w:val="auto"/>
          <w:sz w:val="24"/>
          <w:szCs w:val="24"/>
          <w:highlight w:val="none"/>
          <w:lang w:eastAsia="zh-CN"/>
        </w:rPr>
        <w:t>。</w:t>
      </w:r>
    </w:p>
    <w:p>
      <w:pPr>
        <w:spacing w:line="360" w:lineRule="auto"/>
        <w:ind w:firstLine="468" w:firstLineChars="19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2.均需在规定签章处签字（签字可用具有法定效力的签字章）和盖章。</w:t>
      </w:r>
    </w:p>
    <w:bookmarkEnd w:id="46"/>
    <w:bookmarkEnd w:id="47"/>
    <w:bookmarkEnd w:id="48"/>
    <w:p>
      <w:pPr>
        <w:spacing w:line="360" w:lineRule="auto"/>
        <w:ind w:firstLine="468" w:firstLineChars="19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文件的打印和书写应清楚工整，任何行间插字、涂改或增删，必须由申请人的法定代表人（负责人）或其授权代表签字或盖个人印章并加盖申请人公章。</w:t>
      </w:r>
    </w:p>
    <w:p>
      <w:pPr>
        <w:spacing w:line="360" w:lineRule="auto"/>
        <w:ind w:firstLine="468" w:firstLineChars="19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文件应由申请人法定代表人（负责人）或其授权代表在</w:t>
      </w:r>
      <w:r>
        <w:rPr>
          <w:rFonts w:hint="eastAsia" w:ascii="宋体" w:hAnsi="宋体" w:cs="宋体"/>
          <w:bCs/>
          <w:color w:val="auto"/>
          <w:sz w:val="24"/>
          <w:szCs w:val="24"/>
          <w:highlight w:val="none"/>
          <w:lang w:val="en-US" w:eastAsia="zh-CN"/>
        </w:rPr>
        <w:t>相应</w:t>
      </w:r>
      <w:r>
        <w:rPr>
          <w:rFonts w:hint="eastAsia" w:ascii="宋体" w:hAnsi="宋体" w:eastAsia="宋体" w:cs="宋体"/>
          <w:bCs/>
          <w:color w:val="auto"/>
          <w:sz w:val="24"/>
          <w:szCs w:val="24"/>
          <w:highlight w:val="none"/>
        </w:rPr>
        <w:t>文件要求的地方签字或盖个人印章。字迹潦草、表达不清或可能导致非唯一理解的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文件可能视为无效</w:t>
      </w:r>
      <w:r>
        <w:rPr>
          <w:rFonts w:hint="eastAsia" w:ascii="宋体" w:hAnsi="宋体" w:eastAsia="宋体" w:cs="宋体"/>
          <w:bCs/>
          <w:color w:val="auto"/>
          <w:sz w:val="24"/>
          <w:szCs w:val="24"/>
          <w:highlight w:val="none"/>
          <w:lang w:val="en-US" w:eastAsia="zh-CN"/>
        </w:rPr>
        <w:t>文件</w:t>
      </w:r>
      <w:r>
        <w:rPr>
          <w:rFonts w:hint="eastAsia" w:ascii="宋体" w:hAnsi="宋体" w:eastAsia="宋体" w:cs="宋体"/>
          <w:bCs/>
          <w:color w:val="auto"/>
          <w:sz w:val="24"/>
          <w:szCs w:val="24"/>
          <w:highlight w:val="none"/>
        </w:rPr>
        <w:t>。</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文件统一用A4幅面纸印制。</w:t>
      </w:r>
    </w:p>
    <w:p>
      <w:pPr>
        <w:tabs>
          <w:tab w:val="left" w:pos="1080"/>
        </w:tabs>
        <w:spacing w:line="360" w:lineRule="auto"/>
        <w:ind w:firstLine="463" w:firstLineChars="192"/>
        <w:rPr>
          <w:rFonts w:hint="eastAsia" w:ascii="宋体" w:hAnsi="宋体" w:eastAsia="宋体" w:cs="宋体"/>
          <w:b/>
          <w:color w:val="auto"/>
          <w:sz w:val="24"/>
          <w:szCs w:val="24"/>
          <w:highlight w:val="none"/>
        </w:rPr>
      </w:pPr>
      <w:bookmarkStart w:id="49" w:name="_Toc77400781"/>
      <w:bookmarkStart w:id="50" w:name="_Toc89075877"/>
      <w:bookmarkStart w:id="51" w:name="_Toc217446053"/>
      <w:bookmarkStart w:id="52" w:name="_Toc183682363"/>
      <w:bookmarkStart w:id="53" w:name="_Toc183582226"/>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文件的密封和标注</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文件密封包装在一个密封袋内。</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2.密封袋的最外层应清楚地标明项目名称、</w:t>
      </w:r>
      <w:r>
        <w:rPr>
          <w:rFonts w:hint="eastAsia" w:ascii="宋体" w:hAnsi="宋体" w:eastAsia="宋体" w:cs="宋体"/>
          <w:bCs/>
          <w:color w:val="auto"/>
          <w:sz w:val="24"/>
          <w:szCs w:val="24"/>
          <w:highlight w:val="none"/>
        </w:rPr>
        <w:t>申请人</w:t>
      </w:r>
      <w:r>
        <w:rPr>
          <w:rFonts w:hint="eastAsia" w:ascii="宋体" w:hAnsi="宋体" w:eastAsia="宋体" w:cs="宋体"/>
          <w:color w:val="auto"/>
          <w:sz w:val="24"/>
          <w:szCs w:val="24"/>
          <w:highlight w:val="none"/>
        </w:rPr>
        <w:t>名称、年月日。</w:t>
      </w:r>
    </w:p>
    <w:p>
      <w:pPr>
        <w:tabs>
          <w:tab w:val="left" w:pos="1080"/>
        </w:tabs>
        <w:spacing w:line="360" w:lineRule="auto"/>
        <w:ind w:firstLine="463" w:firstLineChars="19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文件的递交</w:t>
      </w:r>
    </w:p>
    <w:p>
      <w:pPr>
        <w:tabs>
          <w:tab w:val="left" w:pos="1080"/>
        </w:tabs>
        <w:spacing w:line="360" w:lineRule="auto"/>
        <w:ind w:firstLine="460" w:firstLineChars="19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文件应于递交截止时间前送达</w:t>
      </w:r>
      <w:r>
        <w:rPr>
          <w:rFonts w:hint="eastAsia" w:ascii="宋体" w:hAnsi="宋体" w:eastAsia="宋体" w:cs="宋体"/>
          <w:color w:val="auto"/>
          <w:sz w:val="24"/>
          <w:szCs w:val="24"/>
          <w:highlight w:val="none"/>
          <w:lang w:val="en-US" w:eastAsia="zh-CN"/>
        </w:rPr>
        <w:t xml:space="preserve">成都市温江区芙蓉大道二段33号 </w:t>
      </w:r>
      <w:r>
        <w:rPr>
          <w:rFonts w:hint="eastAsia" w:ascii="宋体" w:hAnsi="宋体" w:cs="宋体"/>
          <w:color w:val="auto"/>
          <w:sz w:val="24"/>
          <w:szCs w:val="24"/>
          <w:highlight w:val="none"/>
          <w:lang w:val="en-US" w:eastAsia="zh-CN"/>
        </w:rPr>
        <w:t>四川省精神医学中心</w:t>
      </w:r>
      <w:r>
        <w:rPr>
          <w:rFonts w:hint="eastAsia" w:ascii="宋体" w:hAnsi="宋体" w:eastAsia="宋体" w:cs="宋体"/>
          <w:color w:val="auto"/>
          <w:sz w:val="24"/>
          <w:szCs w:val="24"/>
          <w:highlight w:val="none"/>
          <w:lang w:val="en-US" w:eastAsia="zh-CN"/>
        </w:rPr>
        <w:t>行政楼5楼财务办公室</w:t>
      </w:r>
      <w:r>
        <w:rPr>
          <w:rFonts w:hint="eastAsia" w:ascii="宋体" w:hAnsi="宋体" w:eastAsia="宋体" w:cs="宋体"/>
          <w:color w:val="auto"/>
          <w:sz w:val="24"/>
          <w:szCs w:val="24"/>
          <w:highlight w:val="none"/>
          <w:lang w:eastAsia="zh-CN"/>
        </w:rPr>
        <w:t>。</w:t>
      </w:r>
    </w:p>
    <w:p>
      <w:pPr>
        <w:tabs>
          <w:tab w:val="left" w:pos="108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2.不接受邮寄的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bookmarkEnd w:id="49"/>
    <w:bookmarkEnd w:id="50"/>
    <w:bookmarkEnd w:id="51"/>
    <w:bookmarkEnd w:id="52"/>
    <w:bookmarkEnd w:id="53"/>
    <w:p>
      <w:pPr>
        <w:pStyle w:val="5"/>
        <w:spacing w:line="360" w:lineRule="auto"/>
        <w:rPr>
          <w:rFonts w:hint="eastAsia" w:ascii="宋体" w:hAnsi="宋体" w:eastAsia="宋体" w:cs="宋体"/>
          <w:b w:val="0"/>
          <w:color w:val="auto"/>
          <w:sz w:val="24"/>
          <w:szCs w:val="24"/>
          <w:highlight w:val="none"/>
        </w:rPr>
      </w:pPr>
      <w:bookmarkStart w:id="54" w:name="_Toc16507544"/>
      <w:bookmarkStart w:id="55" w:name="_Toc217446056"/>
      <w:bookmarkStart w:id="56" w:name="_Toc77400782"/>
      <w:bookmarkStart w:id="57" w:name="_Toc183682368"/>
      <w:bookmarkStart w:id="58" w:name="_Toc89075878"/>
      <w:bookmarkStart w:id="59" w:name="_Toc183582231"/>
      <w:r>
        <w:rPr>
          <w:rFonts w:hint="eastAsia" w:ascii="宋体" w:hAnsi="宋体" w:eastAsia="宋体" w:cs="宋体"/>
          <w:b w:val="0"/>
          <w:color w:val="auto"/>
          <w:sz w:val="24"/>
          <w:szCs w:val="24"/>
          <w:highlight w:val="none"/>
          <w:lang w:val="en-US" w:eastAsia="zh-CN"/>
        </w:rPr>
        <w:t>三</w:t>
      </w:r>
      <w:r>
        <w:rPr>
          <w:rFonts w:hint="eastAsia" w:ascii="宋体" w:hAnsi="宋体" w:eastAsia="宋体" w:cs="宋体"/>
          <w:b w:val="0"/>
          <w:color w:val="auto"/>
          <w:sz w:val="24"/>
          <w:szCs w:val="24"/>
          <w:highlight w:val="none"/>
        </w:rPr>
        <w:t>、入选</w:t>
      </w:r>
      <w:bookmarkEnd w:id="54"/>
    </w:p>
    <w:p>
      <w:pPr>
        <w:pStyle w:val="8"/>
        <w:spacing w:line="360" w:lineRule="auto"/>
        <w:ind w:firstLine="482"/>
        <w:rPr>
          <w:rFonts w:hint="eastAsia" w:ascii="宋体" w:hAnsi="宋体" w:eastAsia="宋体" w:cs="宋体"/>
          <w:b/>
          <w:color w:val="auto"/>
          <w:sz w:val="24"/>
          <w:szCs w:val="24"/>
          <w:highlight w:val="none"/>
        </w:rPr>
      </w:pPr>
      <w:bookmarkStart w:id="60" w:name="_Toc513931164"/>
      <w:bookmarkStart w:id="61" w:name="_Toc513713479"/>
      <w:bookmarkStart w:id="62" w:name="_Toc513763587"/>
      <w:bookmarkStart w:id="63" w:name="_Toc513714596"/>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）确定入选银行</w:t>
      </w:r>
      <w:bookmarkEnd w:id="60"/>
      <w:bookmarkEnd w:id="61"/>
      <w:bookmarkEnd w:id="62"/>
      <w:bookmarkEnd w:id="63"/>
    </w:p>
    <w:p>
      <w:pPr>
        <w:pStyle w:val="8"/>
        <w:numPr>
          <w:ilvl w:val="0"/>
          <w:numId w:val="0"/>
        </w:numPr>
        <w:spacing w:line="360" w:lineRule="auto"/>
        <w:ind w:firstLine="480" w:firstLineChars="200"/>
        <w:rPr>
          <w:rFonts w:hint="eastAsia" w:ascii="宋体" w:hAnsi="宋体" w:eastAsia="宋体" w:cs="宋体"/>
          <w:color w:val="auto"/>
          <w:sz w:val="24"/>
          <w:szCs w:val="24"/>
          <w:highlight w:val="none"/>
        </w:rPr>
      </w:pPr>
      <w:bookmarkStart w:id="64" w:name="_Toc513713480"/>
      <w:bookmarkStart w:id="65" w:name="_Toc513714597"/>
      <w:bookmarkStart w:id="66" w:name="_Toc513763588"/>
      <w:bookmarkStart w:id="67" w:name="_Toc513931165"/>
      <w:r>
        <w:rPr>
          <w:rFonts w:hint="eastAsia" w:ascii="宋体" w:hAnsi="宋体" w:eastAsia="宋体" w:cs="宋体"/>
          <w:color w:val="auto"/>
          <w:sz w:val="24"/>
          <w:szCs w:val="24"/>
          <w:highlight w:val="none"/>
          <w:lang w:val="en-US" w:eastAsia="zh-CN"/>
        </w:rPr>
        <w:t>资金存放主体</w:t>
      </w:r>
      <w:r>
        <w:rPr>
          <w:rFonts w:hint="eastAsia" w:ascii="宋体" w:hAnsi="宋体" w:eastAsia="宋体" w:cs="宋体"/>
          <w:color w:val="auto"/>
          <w:sz w:val="24"/>
          <w:szCs w:val="24"/>
          <w:highlight w:val="none"/>
        </w:rPr>
        <w:t>按照具体的评分方法对合格</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color w:val="auto"/>
          <w:sz w:val="24"/>
          <w:szCs w:val="24"/>
          <w:highlight w:val="none"/>
        </w:rPr>
        <w:t>文件进行评选和比较后，得出各</w:t>
      </w:r>
      <w:r>
        <w:rPr>
          <w:rFonts w:hint="eastAsia" w:ascii="宋体" w:hAnsi="宋体" w:eastAsia="宋体" w:cs="宋体"/>
          <w:bCs/>
          <w:color w:val="auto"/>
          <w:sz w:val="24"/>
          <w:szCs w:val="24"/>
          <w:highlight w:val="none"/>
        </w:rPr>
        <w:t>申请人</w:t>
      </w:r>
      <w:r>
        <w:rPr>
          <w:rFonts w:hint="eastAsia" w:ascii="宋体" w:hAnsi="宋体" w:eastAsia="宋体" w:cs="宋体"/>
          <w:color w:val="auto"/>
          <w:sz w:val="24"/>
          <w:szCs w:val="24"/>
          <w:highlight w:val="none"/>
        </w:rPr>
        <w:t>综合得分并按综合得分由高到低确定排名顺序。</w:t>
      </w:r>
      <w:bookmarkEnd w:id="64"/>
      <w:bookmarkEnd w:id="65"/>
      <w:bookmarkEnd w:id="66"/>
      <w:bookmarkStart w:id="68" w:name="_Toc513763589"/>
      <w:bookmarkStart w:id="69" w:name="_Toc513714598"/>
      <w:bookmarkStart w:id="70" w:name="_Toc513713481"/>
      <w:r>
        <w:rPr>
          <w:rFonts w:hint="eastAsia" w:ascii="宋体" w:hAnsi="宋体" w:eastAsia="宋体" w:cs="宋体"/>
          <w:color w:val="auto"/>
          <w:sz w:val="24"/>
          <w:szCs w:val="24"/>
          <w:highlight w:val="none"/>
        </w:rPr>
        <w:t>若出现综合得分相同的情形，按</w:t>
      </w:r>
      <w:r>
        <w:rPr>
          <w:rFonts w:hint="eastAsia" w:ascii="宋体" w:hAnsi="宋体" w:eastAsia="宋体" w:cs="宋体"/>
          <w:bCs/>
          <w:color w:val="auto"/>
          <w:sz w:val="24"/>
          <w:szCs w:val="24"/>
          <w:highlight w:val="none"/>
        </w:rPr>
        <w:t>申请人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文件内利率水平指标得分由高到低确定排名顺序；若利率水平指标得分也相同时，则抽签确定排名顺序。</w:t>
      </w:r>
      <w:bookmarkEnd w:id="67"/>
      <w:bookmarkEnd w:id="68"/>
      <w:bookmarkEnd w:id="69"/>
      <w:bookmarkEnd w:id="70"/>
      <w:bookmarkStart w:id="71" w:name="_Toc513714599"/>
      <w:bookmarkStart w:id="72" w:name="_Toc513931166"/>
      <w:bookmarkStart w:id="73" w:name="_Toc513763590"/>
      <w:bookmarkStart w:id="74" w:name="_Toc513713482"/>
    </w:p>
    <w:bookmarkEnd w:id="71"/>
    <w:bookmarkEnd w:id="72"/>
    <w:bookmarkEnd w:id="73"/>
    <w:bookmarkEnd w:id="74"/>
    <w:p>
      <w:pPr>
        <w:pStyle w:val="8"/>
        <w:spacing w:line="360" w:lineRule="auto"/>
        <w:ind w:firstLine="482"/>
        <w:rPr>
          <w:rFonts w:hint="eastAsia" w:ascii="宋体" w:hAnsi="宋体" w:eastAsia="宋体" w:cs="宋体"/>
          <w:b/>
          <w:color w:val="auto"/>
          <w:sz w:val="24"/>
          <w:szCs w:val="24"/>
          <w:highlight w:val="none"/>
        </w:rPr>
      </w:pPr>
      <w:bookmarkStart w:id="75" w:name="_Toc513763608"/>
      <w:bookmarkStart w:id="76" w:name="_Toc513714614"/>
      <w:bookmarkStart w:id="77" w:name="_Toc513931184"/>
      <w:bookmarkStart w:id="78" w:name="_Toc513713497"/>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）入选结果</w:t>
      </w:r>
      <w:bookmarkEnd w:id="75"/>
      <w:bookmarkEnd w:id="76"/>
      <w:bookmarkEnd w:id="77"/>
      <w:bookmarkEnd w:id="78"/>
    </w:p>
    <w:p>
      <w:pPr>
        <w:pStyle w:val="8"/>
        <w:spacing w:line="360" w:lineRule="auto"/>
        <w:ind w:firstLine="480"/>
        <w:rPr>
          <w:rFonts w:hint="eastAsia" w:ascii="宋体" w:hAnsi="宋体" w:eastAsia="宋体" w:cs="宋体"/>
          <w:color w:val="auto"/>
          <w:sz w:val="24"/>
          <w:szCs w:val="24"/>
          <w:highlight w:val="none"/>
        </w:rPr>
      </w:pPr>
      <w:bookmarkStart w:id="79" w:name="_Toc513931185"/>
      <w:bookmarkStart w:id="80" w:name="_Toc513713498"/>
      <w:bookmarkStart w:id="81" w:name="_Toc513763609"/>
      <w:bookmarkStart w:id="82" w:name="_Toc513714615"/>
      <w:r>
        <w:rPr>
          <w:rFonts w:hint="eastAsia" w:ascii="宋体" w:hAnsi="宋体" w:eastAsia="宋体" w:cs="宋体"/>
          <w:color w:val="auto"/>
          <w:sz w:val="24"/>
          <w:szCs w:val="24"/>
          <w:highlight w:val="none"/>
        </w:rPr>
        <w:t>资金存放主体确定入选银行后，在</w:t>
      </w:r>
      <w:r>
        <w:rPr>
          <w:rFonts w:hint="eastAsia" w:ascii="宋体" w:hAnsi="宋体" w:eastAsia="宋体" w:cs="宋体"/>
          <w:color w:val="auto"/>
          <w:sz w:val="24"/>
          <w:szCs w:val="24"/>
          <w:highlight w:val="none"/>
          <w:lang w:val="en-US" w:eastAsia="zh-CN"/>
        </w:rPr>
        <w:t>四川省精神医学中心门户网站（http://www.scsjsyxzx.com/）</w:t>
      </w:r>
      <w:r>
        <w:rPr>
          <w:rFonts w:hint="eastAsia" w:ascii="宋体" w:hAnsi="宋体" w:eastAsia="宋体" w:cs="宋体"/>
          <w:color w:val="auto"/>
          <w:sz w:val="24"/>
          <w:szCs w:val="24"/>
          <w:highlight w:val="none"/>
        </w:rPr>
        <w:t>发布评选结果公告。</w:t>
      </w:r>
      <w:bookmarkEnd w:id="79"/>
      <w:bookmarkEnd w:id="80"/>
      <w:bookmarkEnd w:id="81"/>
      <w:bookmarkEnd w:id="82"/>
    </w:p>
    <w:p>
      <w:pPr>
        <w:pStyle w:val="5"/>
        <w:spacing w:line="360" w:lineRule="auto"/>
        <w:rPr>
          <w:rFonts w:hint="eastAsia" w:ascii="宋体" w:hAnsi="宋体" w:eastAsia="宋体" w:cs="宋体"/>
          <w:b w:val="0"/>
          <w:color w:val="auto"/>
          <w:sz w:val="24"/>
          <w:szCs w:val="24"/>
          <w:highlight w:val="none"/>
        </w:rPr>
      </w:pPr>
      <w:bookmarkStart w:id="83" w:name="_Toc16507545"/>
      <w:r>
        <w:rPr>
          <w:rFonts w:hint="eastAsia" w:ascii="宋体" w:hAnsi="宋体" w:eastAsia="宋体" w:cs="宋体"/>
          <w:b w:val="0"/>
          <w:color w:val="auto"/>
          <w:sz w:val="24"/>
          <w:szCs w:val="24"/>
          <w:highlight w:val="none"/>
          <w:lang w:val="en-US" w:eastAsia="zh-CN"/>
        </w:rPr>
        <w:t>四</w:t>
      </w:r>
      <w:r>
        <w:rPr>
          <w:rFonts w:hint="eastAsia" w:ascii="宋体" w:hAnsi="宋体" w:eastAsia="宋体" w:cs="宋体"/>
          <w:b w:val="0"/>
          <w:color w:val="auto"/>
          <w:sz w:val="24"/>
          <w:szCs w:val="24"/>
          <w:highlight w:val="none"/>
        </w:rPr>
        <w:t>、协议</w:t>
      </w:r>
      <w:bookmarkEnd w:id="83"/>
    </w:p>
    <w:p>
      <w:pPr>
        <w:pStyle w:val="8"/>
        <w:spacing w:line="360" w:lineRule="auto"/>
        <w:ind w:firstLine="482"/>
        <w:rPr>
          <w:rFonts w:hint="eastAsia" w:ascii="宋体" w:hAnsi="宋体" w:eastAsia="宋体" w:cs="宋体"/>
          <w:b/>
          <w:color w:val="auto"/>
          <w:sz w:val="24"/>
          <w:szCs w:val="24"/>
          <w:highlight w:val="none"/>
        </w:rPr>
      </w:pPr>
      <w:bookmarkStart w:id="84" w:name="_Toc430773927"/>
      <w:bookmarkStart w:id="85" w:name="_Toc101338364"/>
      <w:bookmarkStart w:id="86" w:name="_Toc101250646"/>
      <w:bookmarkStart w:id="87" w:name="_Toc101174151"/>
      <w:bookmarkStart w:id="88" w:name="_Toc513714623"/>
      <w:bookmarkStart w:id="89" w:name="_Toc209847069"/>
      <w:bookmarkStart w:id="90" w:name="_Toc513713506"/>
      <w:bookmarkStart w:id="91" w:name="_Toc513763617"/>
      <w:bookmarkStart w:id="92" w:name="_Toc513931193"/>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）签订</w:t>
      </w:r>
      <w:bookmarkEnd w:id="84"/>
      <w:bookmarkEnd w:id="85"/>
      <w:bookmarkEnd w:id="86"/>
      <w:bookmarkEnd w:id="87"/>
      <w:bookmarkEnd w:id="88"/>
      <w:bookmarkEnd w:id="89"/>
      <w:bookmarkEnd w:id="90"/>
      <w:r>
        <w:rPr>
          <w:rFonts w:hint="eastAsia" w:ascii="宋体" w:hAnsi="宋体" w:eastAsia="宋体" w:cs="宋体"/>
          <w:b/>
          <w:color w:val="auto"/>
          <w:sz w:val="24"/>
          <w:szCs w:val="24"/>
          <w:highlight w:val="none"/>
        </w:rPr>
        <w:t>协议</w:t>
      </w:r>
      <w:bookmarkEnd w:id="91"/>
      <w:bookmarkEnd w:id="92"/>
    </w:p>
    <w:p>
      <w:pPr>
        <w:pStyle w:val="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1.入选银行按资金存放主体要求与资金存放主体签协议。由于入选银行的原因逾期未与资金存放主体签订协议的，将视为放弃中选，取消其入选资格并将按相关规定进行处理。</w:t>
      </w:r>
    </w:p>
    <w:p>
      <w:pPr>
        <w:pStyle w:val="8"/>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2.入选银行因不可抗力原因不能履行协议或放弃中选的，依序确定排名靠前的其他</w:t>
      </w:r>
      <w:r>
        <w:rPr>
          <w:rFonts w:hint="eastAsia" w:ascii="宋体" w:hAnsi="宋体" w:eastAsia="宋体" w:cs="宋体"/>
          <w:bCs/>
          <w:color w:val="auto"/>
          <w:sz w:val="24"/>
          <w:szCs w:val="24"/>
          <w:highlight w:val="none"/>
        </w:rPr>
        <w:t>申请人</w:t>
      </w:r>
      <w:r>
        <w:rPr>
          <w:rFonts w:hint="eastAsia" w:ascii="宋体" w:hAnsi="宋体" w:eastAsia="宋体" w:cs="宋体"/>
          <w:color w:val="auto"/>
          <w:sz w:val="24"/>
          <w:szCs w:val="24"/>
          <w:highlight w:val="none"/>
        </w:rPr>
        <w:t>递补为入选银行后，资金存放主体可以与其签订协议。</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（十）履行协议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1.入选银行与资金存放主体签订协议后，应严格执行协议条款，履行协议规定的义务，保证协议的顺利完成。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2.在协议履行过程中，如发生纠纷，协议双方应按照《合同法》的有关规定进行处理</w:t>
      </w:r>
      <w:bookmarkEnd w:id="21"/>
      <w:bookmarkStart w:id="93" w:name="_Toc513712830"/>
      <w:bookmarkStart w:id="94" w:name="PO_默认文件内容_26"/>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page"/>
      </w:r>
    </w:p>
    <w:p>
      <w:pPr>
        <w:pStyle w:val="4"/>
        <w:spacing w:line="360" w:lineRule="auto"/>
        <w:rPr>
          <w:rFonts w:hint="eastAsia" w:ascii="宋体" w:hAnsi="宋体" w:eastAsia="宋体" w:cs="宋体"/>
          <w:color w:val="auto"/>
          <w:sz w:val="32"/>
          <w:szCs w:val="32"/>
          <w:highlight w:val="none"/>
        </w:rPr>
      </w:pPr>
      <w:bookmarkStart w:id="95" w:name="_Toc16507547"/>
      <w:r>
        <w:rPr>
          <w:rFonts w:hint="eastAsia" w:ascii="宋体" w:hAnsi="宋体" w:eastAsia="宋体" w:cs="宋体"/>
          <w:color w:val="auto"/>
          <w:sz w:val="32"/>
          <w:szCs w:val="32"/>
          <w:highlight w:val="none"/>
        </w:rPr>
        <w:t>第三章  申请人应当提供的资格、资质性及其他类似效力要求的相关证明材料</w:t>
      </w:r>
      <w:bookmarkEnd w:id="93"/>
      <w:bookmarkEnd w:id="95"/>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一、申请人基本资格、资质性及其他类似效力要求的相关证明材料</w:t>
      </w:r>
    </w:p>
    <w:p>
      <w:pPr>
        <w:spacing w:after="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（一）基本资格要求相关证明材料：</w:t>
      </w:r>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1、依法开展经营活动（提供营业执照</w:t>
      </w:r>
      <w:r>
        <w:rPr>
          <w:rFonts w:hint="eastAsia" w:ascii="宋体" w:hAnsi="宋体" w:cs="宋体"/>
          <w:bCs/>
          <w:color w:val="auto"/>
          <w:sz w:val="24"/>
          <w:szCs w:val="24"/>
          <w:highlight w:val="none"/>
          <w:lang w:val="en-US" w:eastAsia="zh-CN"/>
        </w:rPr>
        <w:t>复印件并加盖公章</w:t>
      </w:r>
      <w:r>
        <w:rPr>
          <w:rFonts w:hint="eastAsia" w:ascii="宋体" w:hAnsi="宋体" w:eastAsia="宋体" w:cs="宋体"/>
          <w:bCs/>
          <w:color w:val="auto"/>
          <w:sz w:val="24"/>
          <w:szCs w:val="24"/>
          <w:highlight w:val="none"/>
        </w:rPr>
        <w:t>）；</w:t>
      </w:r>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2、上年度在当地（项目所在地）人民银行分支机构综合评价等级为</w:t>
      </w:r>
      <w:r>
        <w:rPr>
          <w:rFonts w:hint="eastAsia" w:ascii="宋体" w:hAnsi="宋体" w:cs="宋体"/>
          <w:bCs/>
          <w:color w:val="auto"/>
          <w:sz w:val="24"/>
          <w:szCs w:val="24"/>
          <w:highlight w:val="none"/>
          <w:lang w:val="en-US" w:eastAsia="zh-CN"/>
        </w:rPr>
        <w:t>B</w:t>
      </w:r>
      <w:r>
        <w:rPr>
          <w:rFonts w:hint="eastAsia" w:ascii="宋体" w:hAnsi="宋体" w:eastAsia="宋体" w:cs="宋体"/>
          <w:bCs/>
          <w:color w:val="auto"/>
          <w:sz w:val="24"/>
          <w:szCs w:val="24"/>
          <w:highlight w:val="none"/>
        </w:rPr>
        <w:t>等及以上（提供相关证明文件复印件）；</w:t>
      </w:r>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3、财务稳健，资本充足率、不良贷款率、拨备覆盖率、流动性覆盖率、流动性比例等指标达到监管标准（提供综合指标表）；</w:t>
      </w:r>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、廉洁承诺书（内容至少包含不得向资金存放主体相关负责人员输送任何利益，不得将资金存放与资金存放主体相关负责人员在本行亲属的业绩、收入挂钩等要素）（原件）。</w:t>
      </w:r>
    </w:p>
    <w:p>
      <w:pPr>
        <w:spacing w:after="50"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（二）其他类似效力要求相关证明材料：</w:t>
      </w:r>
    </w:p>
    <w:p>
      <w:pPr>
        <w:spacing w:after="50"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法定代表人（负责人）</w:t>
      </w:r>
      <w:r>
        <w:rPr>
          <w:rFonts w:hint="eastAsia" w:ascii="宋体" w:hAnsi="宋体" w:eastAsia="宋体" w:cs="宋体"/>
          <w:color w:val="auto"/>
          <w:sz w:val="24"/>
          <w:szCs w:val="24"/>
          <w:highlight w:val="none"/>
        </w:rPr>
        <w:t>身份证复印件；</w:t>
      </w:r>
      <w:bookmarkEnd w:id="94"/>
    </w:p>
    <w:p>
      <w:pPr>
        <w:spacing w:after="50" w:line="360" w:lineRule="auto"/>
        <w:ind w:firstLine="480"/>
        <w:rPr>
          <w:rFonts w:hint="eastAsia" w:ascii="宋体" w:hAnsi="宋体" w:eastAsia="宋体" w:cs="宋体"/>
          <w:bCs/>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3"/>
        <w:rPr>
          <w:rFonts w:hint="eastAsia" w:ascii="宋体" w:hAnsi="宋体" w:eastAsia="宋体" w:cs="宋体"/>
          <w:bCs/>
          <w:color w:val="auto"/>
          <w:sz w:val="24"/>
          <w:szCs w:val="24"/>
          <w:highlight w:val="none"/>
        </w:rPr>
      </w:pPr>
    </w:p>
    <w:p>
      <w:pPr>
        <w:pStyle w:val="4"/>
        <w:spacing w:line="360" w:lineRule="auto"/>
        <w:rPr>
          <w:rFonts w:hint="eastAsia" w:ascii="宋体" w:hAnsi="宋体" w:eastAsia="宋体" w:cs="宋体"/>
          <w:color w:val="auto"/>
          <w:sz w:val="32"/>
          <w:szCs w:val="32"/>
          <w:highlight w:val="none"/>
        </w:rPr>
      </w:pPr>
      <w:bookmarkStart w:id="96" w:name="_Toc16507548"/>
      <w:bookmarkStart w:id="97" w:name="_Toc513712831"/>
      <w:r>
        <w:rPr>
          <w:rFonts w:hint="eastAsia" w:ascii="宋体" w:hAnsi="宋体" w:eastAsia="宋体" w:cs="宋体"/>
          <w:color w:val="auto"/>
          <w:sz w:val="32"/>
          <w:szCs w:val="32"/>
          <w:highlight w:val="none"/>
        </w:rPr>
        <w:t>第四章  项目需求</w:t>
      </w:r>
      <w:bookmarkEnd w:id="96"/>
      <w:bookmarkEnd w:id="97"/>
    </w:p>
    <w:p>
      <w:pPr>
        <w:spacing w:line="360" w:lineRule="auto"/>
        <w:ind w:firstLine="482" w:firstLineChars="200"/>
        <w:rPr>
          <w:rFonts w:hint="eastAsia" w:ascii="宋体" w:hAnsi="宋体" w:eastAsia="宋体" w:cs="宋体"/>
          <w:b/>
          <w:bCs/>
          <w:color w:val="auto"/>
          <w:sz w:val="24"/>
          <w:szCs w:val="24"/>
          <w:highlight w:val="none"/>
        </w:rPr>
      </w:pPr>
      <w:bookmarkStart w:id="98" w:name="_Toc217446094"/>
      <w:r>
        <w:rPr>
          <w:rFonts w:hint="eastAsia" w:ascii="宋体" w:hAnsi="宋体" w:eastAsia="宋体" w:cs="宋体"/>
          <w:b/>
          <w:bCs/>
          <w:color w:val="auto"/>
          <w:sz w:val="24"/>
          <w:szCs w:val="24"/>
          <w:highlight w:val="none"/>
        </w:rPr>
        <w:t>前提：本章标注“*”的条款为本项目的实质性条款，申请人不满足的，将按照无效竞选处理。</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bookmarkEnd w:id="98"/>
    </w:p>
    <w:p>
      <w:pPr>
        <w:spacing w:line="360" w:lineRule="auto"/>
        <w:ind w:firstLine="480" w:firstLineChars="200"/>
        <w:rPr>
          <w:rFonts w:hint="eastAsia" w:ascii="宋体" w:hAnsi="宋体" w:eastAsia="宋体" w:cs="宋体"/>
          <w:bCs/>
          <w:color w:val="auto"/>
          <w:sz w:val="24"/>
          <w:szCs w:val="24"/>
          <w:highlight w:val="none"/>
        </w:rPr>
      </w:pPr>
      <w:bookmarkStart w:id="99" w:name="_Toc217446095"/>
      <w:r>
        <w:rPr>
          <w:rFonts w:hint="eastAsia" w:ascii="宋体" w:hAnsi="宋体" w:eastAsia="宋体" w:cs="宋体"/>
          <w:bCs/>
          <w:color w:val="auto"/>
          <w:sz w:val="24"/>
          <w:szCs w:val="24"/>
          <w:highlight w:val="none"/>
        </w:rPr>
        <w:t>根据</w:t>
      </w:r>
      <w:r>
        <w:rPr>
          <w:rFonts w:hint="eastAsia" w:ascii="宋体" w:hAnsi="宋体" w:eastAsia="宋体" w:cs="宋体"/>
          <w:color w:val="auto"/>
          <w:sz w:val="24"/>
          <w:szCs w:val="24"/>
          <w:highlight w:val="none"/>
        </w:rPr>
        <w:t>《四川省财政厅关于印发&lt;四川省财政部门和预算单位资金存放管理实施办法&gt;的通知》（川财规〔2018〕17号）</w:t>
      </w:r>
      <w:r>
        <w:rPr>
          <w:rFonts w:hint="eastAsia" w:ascii="宋体" w:hAnsi="宋体" w:eastAsia="宋体" w:cs="宋体"/>
          <w:bCs/>
          <w:color w:val="auto"/>
          <w:sz w:val="24"/>
          <w:szCs w:val="24"/>
          <w:highlight w:val="none"/>
        </w:rPr>
        <w:t>相关规定，拟通过公开竞争的方式选择一家银行作为</w:t>
      </w:r>
      <w:r>
        <w:rPr>
          <w:rFonts w:hint="eastAsia" w:ascii="宋体" w:hAnsi="宋体" w:cs="宋体"/>
          <w:bCs/>
          <w:color w:val="auto"/>
          <w:sz w:val="24"/>
          <w:szCs w:val="24"/>
          <w:highlight w:val="none"/>
          <w:lang w:val="en-US" w:eastAsia="zh-CN"/>
        </w:rPr>
        <w:t>四川省精神医学中心分工会委员会</w:t>
      </w:r>
      <w:r>
        <w:rPr>
          <w:rFonts w:hint="eastAsia" w:ascii="宋体" w:hAnsi="宋体" w:eastAsia="宋体" w:cs="宋体"/>
          <w:bCs/>
          <w:color w:val="auto"/>
          <w:sz w:val="24"/>
          <w:szCs w:val="24"/>
          <w:highlight w:val="none"/>
        </w:rPr>
        <w:t>资金存放银行。</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（二）商务要求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*1.合同期限：合同签订之日起一年，一年合同期满，资金存放银行无违法、违规违约行为的，经双方约定续签。</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*2.利息的结算方式：按季度结算。</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*3.申请人必须按照</w:t>
      </w:r>
      <w:r>
        <w:rPr>
          <w:rFonts w:hint="eastAsia" w:ascii="宋体" w:hAnsi="宋体" w:eastAsia="宋体" w:cs="宋体"/>
          <w:color w:val="auto"/>
          <w:sz w:val="24"/>
          <w:szCs w:val="24"/>
          <w:highlight w:val="none"/>
        </w:rPr>
        <w:t>《四川省财政厅关于印发&lt;四川省财政部门和预算单位资金存放管理实施办法&gt;的通知》（川财规〔2018〕17号）</w:t>
      </w:r>
      <w:r>
        <w:rPr>
          <w:rFonts w:hint="eastAsia" w:ascii="宋体" w:hAnsi="宋体" w:eastAsia="宋体" w:cs="宋体"/>
          <w:bCs/>
          <w:color w:val="auto"/>
          <w:sz w:val="24"/>
          <w:szCs w:val="24"/>
          <w:highlight w:val="none"/>
        </w:rPr>
        <w:t>的规定存放资金。如资金存放银行有违反川财规〔2018〕17号第二十八条情形的，存放主体应当重新选择或及时收回资金，并有权拒绝其参与本单位资金存放管理。</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rPr>
        <w:t>（三）服务要求</w:t>
      </w:r>
      <w:bookmarkEnd w:id="99"/>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1．提供便捷的金融服务（包括但不限于具有较完善的支付结算、对账、分账核算等服务能力）；</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2．资金实力雄厚，资产状况良好，具有较强的风险控制能力和较好的经营业绩;</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3．内部管理规范，内控制度严密，具有严格的操作规程和保密措施；</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4．具有较强的科技研发能力；</w:t>
      </w:r>
    </w:p>
    <w:p>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确保账户资金的安全性。</w:t>
      </w:r>
    </w:p>
    <w:bookmarkEnd w:id="55"/>
    <w:bookmarkEnd w:id="56"/>
    <w:bookmarkEnd w:id="57"/>
    <w:bookmarkEnd w:id="58"/>
    <w:bookmarkEnd w:id="59"/>
    <w:p>
      <w:pPr>
        <w:pStyle w:val="4"/>
        <w:spacing w:line="360" w:lineRule="auto"/>
        <w:rPr>
          <w:rFonts w:hint="eastAsia" w:ascii="宋体" w:hAnsi="宋体" w:eastAsia="宋体" w:cs="宋体"/>
          <w:color w:val="auto"/>
          <w:sz w:val="24"/>
          <w:szCs w:val="24"/>
          <w:highlight w:val="none"/>
        </w:rPr>
      </w:pPr>
      <w:bookmarkStart w:id="100" w:name="_Toc513712832"/>
      <w:bookmarkStart w:id="101" w:name="_Toc16507549"/>
      <w:bookmarkStart w:id="102" w:name="_Toc183582232"/>
      <w:bookmarkStart w:id="103" w:name="_Toc183682369"/>
      <w:bookmarkStart w:id="104" w:name="_Toc217446057"/>
    </w:p>
    <w:p>
      <w:pPr>
        <w:pStyle w:val="4"/>
        <w:spacing w:line="360" w:lineRule="auto"/>
        <w:rPr>
          <w:rFonts w:hint="eastAsia" w:ascii="宋体" w:hAnsi="宋体" w:eastAsia="宋体" w:cs="宋体"/>
          <w:color w:val="auto"/>
          <w:sz w:val="24"/>
          <w:szCs w:val="24"/>
          <w:highlight w:val="none"/>
        </w:rPr>
      </w:pPr>
    </w:p>
    <w:p>
      <w:pPr>
        <w:pStyle w:val="4"/>
        <w:spacing w:line="360" w:lineRule="auto"/>
        <w:rPr>
          <w:rFonts w:hint="eastAsia" w:ascii="宋体" w:hAnsi="宋体" w:eastAsia="宋体" w:cs="宋体"/>
          <w:color w:val="auto"/>
          <w:sz w:val="24"/>
          <w:szCs w:val="24"/>
          <w:highlight w:val="none"/>
        </w:rPr>
      </w:pPr>
    </w:p>
    <w:p>
      <w:pPr>
        <w:pStyle w:val="4"/>
        <w:spacing w:line="360" w:lineRule="auto"/>
        <w:rPr>
          <w:rFonts w:hint="eastAsia" w:ascii="宋体" w:hAnsi="宋体" w:eastAsia="宋体" w:cs="宋体"/>
          <w:color w:val="auto"/>
          <w:sz w:val="24"/>
          <w:szCs w:val="24"/>
          <w:highlight w:val="none"/>
        </w:rPr>
      </w:pPr>
    </w:p>
    <w:p>
      <w:pPr>
        <w:pStyle w:val="4"/>
        <w:spacing w:line="360" w:lineRule="auto"/>
        <w:jc w:val="center"/>
        <w:rPr>
          <w:rFonts w:hint="eastAsia" w:ascii="宋体" w:hAnsi="宋体" w:eastAsia="宋体" w:cs="宋体"/>
          <w:color w:val="auto"/>
          <w:sz w:val="24"/>
          <w:szCs w:val="24"/>
          <w:highlight w:val="none"/>
        </w:rPr>
      </w:pPr>
    </w:p>
    <w:p>
      <w:pPr>
        <w:pStyle w:val="4"/>
        <w:spacing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color w:val="auto"/>
          <w:sz w:val="32"/>
          <w:szCs w:val="32"/>
          <w:highlight w:val="none"/>
        </w:rPr>
        <w:t xml:space="preserve">第五章  </w:t>
      </w:r>
      <w:r>
        <w:rPr>
          <w:rFonts w:hint="eastAsia" w:ascii="宋体" w:hAnsi="宋体" w:eastAsia="宋体" w:cs="宋体"/>
          <w:color w:val="auto"/>
          <w:sz w:val="32"/>
          <w:szCs w:val="32"/>
          <w:highlight w:val="none"/>
          <w:lang w:val="en-US" w:eastAsia="zh-CN"/>
        </w:rPr>
        <w:t>投标</w:t>
      </w:r>
      <w:r>
        <w:rPr>
          <w:rFonts w:hint="eastAsia" w:ascii="宋体" w:hAnsi="宋体" w:eastAsia="宋体" w:cs="宋体"/>
          <w:color w:val="auto"/>
          <w:sz w:val="32"/>
          <w:szCs w:val="32"/>
          <w:highlight w:val="none"/>
        </w:rPr>
        <w:t>文件格式</w:t>
      </w:r>
      <w:bookmarkEnd w:id="100"/>
      <w:bookmarkEnd w:id="101"/>
    </w:p>
    <w:p>
      <w:pPr>
        <w:spacing w:line="560" w:lineRule="exact"/>
        <w:ind w:firstLine="480" w:firstLineChars="200"/>
        <w:rPr>
          <w:rFonts w:hint="eastAsia" w:ascii="宋体" w:hAnsi="宋体" w:eastAsia="宋体" w:cs="宋体"/>
          <w:color w:val="auto"/>
          <w:sz w:val="24"/>
          <w:szCs w:val="24"/>
          <w:highlight w:val="none"/>
        </w:rPr>
      </w:pPr>
      <w:bookmarkStart w:id="105" w:name="PO_默认文件内容_29"/>
      <w:r>
        <w:rPr>
          <w:rFonts w:hint="eastAsia" w:ascii="宋体" w:hAnsi="宋体" w:eastAsia="宋体" w:cs="宋体"/>
          <w:color w:val="auto"/>
          <w:sz w:val="24"/>
          <w:szCs w:val="24"/>
          <w:highlight w:val="none"/>
        </w:rPr>
        <w:t>一、本章所</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文件格式，除格式中明确将该格式作为实质性要求的，一律不具有强制性。</w:t>
      </w:r>
    </w:p>
    <w:p>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二、本章所制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文件格式有关表格中的备注栏，由申请人根据自身情况作解释性说明，不作为必填项。</w:t>
      </w:r>
      <w:bookmarkEnd w:id="105"/>
    </w:p>
    <w:p>
      <w:pPr>
        <w:pStyle w:val="5"/>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br w:type="page"/>
      </w:r>
      <w:bookmarkStart w:id="106" w:name="_Toc217446082"/>
      <w:bookmarkStart w:id="107" w:name="_Toc16507550"/>
      <w:bookmarkStart w:id="108" w:name="PO_默认文件内容_22"/>
      <w:r>
        <w:rPr>
          <w:rFonts w:hint="eastAsia" w:ascii="宋体" w:hAnsi="宋体" w:eastAsia="宋体" w:cs="宋体"/>
          <w:b w:val="0"/>
          <w:color w:val="auto"/>
          <w:sz w:val="24"/>
          <w:szCs w:val="24"/>
          <w:highlight w:val="none"/>
        </w:rPr>
        <w:t>一、</w:t>
      </w:r>
      <w:bookmarkEnd w:id="106"/>
      <w:r>
        <w:rPr>
          <w:rFonts w:hint="eastAsia" w:ascii="宋体" w:hAnsi="宋体" w:eastAsia="宋体" w:cs="宋体"/>
          <w:b w:val="0"/>
          <w:color w:val="auto"/>
          <w:sz w:val="24"/>
          <w:szCs w:val="24"/>
          <w:highlight w:val="none"/>
          <w:lang w:val="en-US" w:eastAsia="zh-CN"/>
        </w:rPr>
        <w:t>投标</w:t>
      </w:r>
      <w:r>
        <w:rPr>
          <w:rFonts w:hint="eastAsia" w:ascii="宋体" w:hAnsi="宋体" w:eastAsia="宋体" w:cs="宋体"/>
          <w:b w:val="0"/>
          <w:color w:val="auto"/>
          <w:sz w:val="24"/>
          <w:szCs w:val="24"/>
          <w:highlight w:val="none"/>
        </w:rPr>
        <w:t>函</w:t>
      </w:r>
      <w:bookmarkEnd w:id="107"/>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四川省精神医学</w:t>
      </w:r>
      <w:r>
        <w:rPr>
          <w:rFonts w:hint="eastAsia" w:ascii="宋体" w:hAnsi="宋体" w:cs="宋体"/>
          <w:color w:val="auto"/>
          <w:sz w:val="24"/>
          <w:szCs w:val="24"/>
          <w:highlight w:val="none"/>
          <w:lang w:val="en-US" w:eastAsia="zh-CN"/>
        </w:rPr>
        <w:t>中心分工会委员会</w:t>
      </w:r>
    </w:p>
    <w:p>
      <w:pPr>
        <w:spacing w:line="360" w:lineRule="auto"/>
        <w:ind w:firstLine="480" w:firstLineChars="200"/>
        <w:rPr>
          <w:rFonts w:hint="eastAsia" w:ascii="宋体" w:hAnsi="宋体" w:eastAsia="宋体" w:cs="宋体"/>
          <w:color w:val="auto"/>
          <w:sz w:val="24"/>
          <w:szCs w:val="24"/>
          <w:highlight w:val="none"/>
        </w:rPr>
      </w:pPr>
      <w:bookmarkStart w:id="109" w:name="_Toc248339056"/>
      <w:bookmarkStart w:id="110" w:name="_Toc253659949"/>
      <w:bookmarkStart w:id="111" w:name="_Toc310796577"/>
      <w:bookmarkStart w:id="112" w:name="_Toc253414260"/>
      <w:bookmarkStart w:id="113" w:name="_Toc247084985"/>
      <w:bookmarkStart w:id="114" w:name="_Toc311124927"/>
      <w:bookmarkStart w:id="115" w:name="_Toc248489835"/>
      <w:bookmarkStart w:id="116" w:name="_Toc16507551"/>
      <w:bookmarkStart w:id="117" w:name="_Toc217446083"/>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lang w:val="en-US" w:eastAsia="zh-CN"/>
        </w:rPr>
        <w:t>银行股份有限公司</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lang w:val="en-US" w:eastAsia="zh-CN"/>
        </w:rPr>
        <w:t>支行</w:t>
      </w:r>
      <w:r>
        <w:rPr>
          <w:rFonts w:hint="eastAsia" w:ascii="宋体" w:hAnsi="宋体" w:eastAsia="宋体" w:cs="宋体"/>
          <w:color w:val="auto"/>
          <w:sz w:val="24"/>
          <w:szCs w:val="24"/>
          <w:highlight w:val="none"/>
          <w:u w:val="none" w:color="auto"/>
          <w:lang w:eastAsia="zh-CN"/>
        </w:rPr>
        <w:t>积极</w:t>
      </w:r>
      <w:r>
        <w:rPr>
          <w:rFonts w:hint="eastAsia" w:ascii="宋体" w:hAnsi="宋体" w:eastAsia="宋体" w:cs="宋体"/>
          <w:color w:val="auto"/>
          <w:sz w:val="24"/>
          <w:szCs w:val="24"/>
          <w:highlight w:val="none"/>
        </w:rPr>
        <w:t>参加贵方组织的</w:t>
      </w:r>
      <w:r>
        <w:rPr>
          <w:rFonts w:hint="eastAsia" w:ascii="宋体" w:hAnsi="宋体" w:eastAsia="宋体" w:cs="宋体"/>
          <w:bCs/>
          <w:color w:val="auto"/>
          <w:sz w:val="24"/>
          <w:szCs w:val="24"/>
          <w:highlight w:val="none"/>
          <w:u w:val="single" w:color="auto"/>
          <w:lang w:val="en-US" w:eastAsia="zh-CN"/>
        </w:rPr>
        <w:t>四川省精神医学中心分工会委员会资金存放银行比选项目</w:t>
      </w:r>
      <w:r>
        <w:rPr>
          <w:rFonts w:hint="eastAsia" w:ascii="宋体" w:hAnsi="宋体" w:eastAsia="宋体" w:cs="宋体"/>
          <w:color w:val="auto"/>
          <w:sz w:val="24"/>
          <w:szCs w:val="24"/>
          <w:highlight w:val="none"/>
        </w:rPr>
        <w:t>招标活动，并对</w:t>
      </w:r>
      <w:r>
        <w:rPr>
          <w:rFonts w:hint="eastAsia" w:ascii="宋体" w:hAnsi="宋体" w:cs="宋体"/>
          <w:bCs/>
          <w:color w:val="auto"/>
          <w:sz w:val="24"/>
          <w:szCs w:val="24"/>
          <w:highlight w:val="none"/>
          <w:u w:val="none" w:color="auto"/>
          <w:lang w:val="en-US" w:eastAsia="zh-CN"/>
        </w:rPr>
        <w:t>该</w:t>
      </w:r>
      <w:r>
        <w:rPr>
          <w:rFonts w:hint="eastAsia" w:ascii="宋体" w:hAnsi="宋体" w:eastAsia="宋体" w:cs="宋体"/>
          <w:bCs/>
          <w:color w:val="auto"/>
          <w:sz w:val="24"/>
          <w:szCs w:val="24"/>
          <w:highlight w:val="none"/>
          <w:u w:val="none" w:color="auto"/>
          <w:lang w:eastAsia="zh-CN"/>
        </w:rPr>
        <w:t>项目</w:t>
      </w:r>
      <w:r>
        <w:rPr>
          <w:rFonts w:hint="eastAsia" w:ascii="宋体" w:hAnsi="宋体" w:eastAsia="宋体" w:cs="宋体"/>
          <w:color w:val="auto"/>
          <w:sz w:val="24"/>
          <w:szCs w:val="24"/>
          <w:highlight w:val="none"/>
        </w:rPr>
        <w:t>进行投标。为此：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1、提供投标须知规定的全部投标文件</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、遵守招标文件中的有关规定。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、忠实地执行双方所签合同,并承担合同规定的责任义务。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、愿意向贵方提供任何与该项投标有关的数据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ind w:firstLine="3600" w:firstLineChars="1500"/>
        <w:rPr>
          <w:rFonts w:hint="eastAsia" w:ascii="宋体" w:hAnsi="宋体" w:eastAsia="宋体" w:cs="宋体"/>
          <w:color w:val="auto"/>
          <w:sz w:val="24"/>
          <w:szCs w:val="24"/>
          <w:highlight w:val="none"/>
        </w:rPr>
      </w:pPr>
    </w:p>
    <w:p>
      <w:pPr>
        <w:spacing w:line="360" w:lineRule="auto"/>
        <w:ind w:firstLine="3600" w:firstLineChars="15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投标单位(盖章)：</w:t>
      </w:r>
    </w:p>
    <w:p>
      <w:pPr>
        <w:spacing w:line="360" w:lineRule="auto"/>
        <w:ind w:firstLine="3600" w:firstLineChars="15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w:t>
      </w:r>
      <w:r>
        <w:rPr>
          <w:rFonts w:hint="eastAsia" w:ascii="宋体" w:hAnsi="宋体" w:eastAsia="宋体" w:cs="宋体"/>
          <w:color w:val="auto"/>
          <w:sz w:val="24"/>
          <w:szCs w:val="24"/>
          <w:highlight w:val="none"/>
        </w:rPr>
        <w:t xml:space="preserve">代表：                               </w:t>
      </w:r>
    </w:p>
    <w:p>
      <w:pPr>
        <w:spacing w:line="360" w:lineRule="auto"/>
        <w:ind w:firstLine="3600" w:firstLineChars="15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bookmarkEnd w:id="109"/>
    <w:bookmarkEnd w:id="110"/>
    <w:bookmarkEnd w:id="111"/>
    <w:bookmarkEnd w:id="112"/>
    <w:bookmarkEnd w:id="113"/>
    <w:bookmarkEnd w:id="114"/>
    <w:bookmarkEnd w:id="115"/>
    <w:bookmarkEnd w:id="116"/>
    <w:p>
      <w:pPr>
        <w:pStyle w:val="4"/>
        <w:numPr>
          <w:ilvl w:val="0"/>
          <w:numId w:val="0"/>
        </w:numPr>
        <w:spacing w:before="0" w:beforeLines="0" w:after="0" w:afterLines="0"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val="0"/>
          <w:color w:val="auto"/>
          <w:sz w:val="24"/>
          <w:szCs w:val="24"/>
          <w:highlight w:val="none"/>
        </w:rPr>
        <w:br w:type="page"/>
      </w:r>
      <w:bookmarkStart w:id="118" w:name="_Toc16507553"/>
      <w:r>
        <w:rPr>
          <w:rFonts w:hint="eastAsia" w:ascii="宋体" w:hAnsi="宋体" w:eastAsia="宋体" w:cs="宋体"/>
          <w:b w:val="0"/>
          <w:bCs/>
          <w:color w:val="auto"/>
          <w:kern w:val="2"/>
          <w:sz w:val="24"/>
          <w:szCs w:val="24"/>
          <w:highlight w:val="none"/>
          <w:lang w:val="en-US" w:eastAsia="zh-CN" w:bidi="ar-SA"/>
        </w:rPr>
        <w:t>二、廉政承诺书</w:t>
      </w:r>
    </w:p>
    <w:p>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四川省精神医学中心分工会委员会：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进一步加强财政部门和预算单位资金存放管理的指导意见》（规库﹝2017﹞76号）、《四川省财政部门和预算单位资金存放管理实施办法》（川规财[2018]17号）的文件规定要求，现就本行参加贵单位资金存放竞争性存放作出如下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向资金存放主体、代理机构工作人员及其亲属赠送或变相赠送任何形式的礼品、礼金、有价证券，或提供无偿服务；不报销应由资金存放主体、代理机构及其工作人员个人支付的费用；不为资金存放主体、代理机构工作人员及其亲属安排旅游或消费娱乐活动；不宴请资金存放主体、代理机构工作人员及其亲属；不为资金存放主体、代理机构工作人员亲属经商办企业提供方便；不向资金存放主体、代理机构相关负责人员输送任何利益；不将资金存放与</w:t>
      </w:r>
      <w:r>
        <w:rPr>
          <w:rFonts w:hint="eastAsia" w:ascii="宋体" w:hAnsi="宋体" w:eastAsia="宋体" w:cs="宋体"/>
          <w:color w:val="auto"/>
          <w:sz w:val="24"/>
          <w:szCs w:val="24"/>
          <w:highlight w:val="none"/>
          <w:lang w:eastAsia="zh-CN"/>
        </w:rPr>
        <w:t>本单位</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rPr>
        <w:t>人员在本行亲属的业绩、收入挂钩；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.不单独约见资金存放主体、代理机构工作人员；不到资金存放主体、代理机构工作人员家中或其他非办公场所商谈业务；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.不向资金存放主体、代理机构工作人员询问评选情况或施加任何影响；不通过任何第三方单位或个人向资金存放主体、代理机构及其工作人员打招呼、施加压力；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.不诋毁竞争性选择活动相关任何一方的名誉，不传播与竞争性选择工作有关的言论与信息。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.不使用不正当手段妨碍、排挤其它申请人，不与资金存放主体、代理机构及其他申请人私下串通协商等。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.自觉遵守评选会议现场工作纪律，不私下接触评选委员会成员，不干扰正常的评选秩序。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.发现任何违法违纪行为，各方均可向资金存放主体监督部门举报；资金存放主体监督部门可根据有关规定，视情节对相关人员予以相应处理或处分。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.资金存放主体监督部门有权对竞争性选择活动进行监督，有权制止、纠正违法违纪行为；我单位自觉接受监督。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.我单位如违反本承诺约定，将按照国家相关法律法规政策进行处理；违反国家法律的，移交司法机关进行处理。</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申请人名称（公章）：</w:t>
      </w:r>
    </w:p>
    <w:p>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法定代表人(负责人)：</w:t>
      </w:r>
    </w:p>
    <w:p>
      <w:pPr>
        <w:jc w:val="right"/>
        <w:rPr>
          <w:rFonts w:hint="eastAsia" w:ascii="宋体" w:hAnsi="宋体" w:eastAsia="宋体" w:cs="宋体"/>
          <w:b/>
          <w:bCs/>
          <w:color w:val="auto"/>
          <w:sz w:val="24"/>
          <w:szCs w:val="24"/>
          <w:highlight w:val="none"/>
        </w:rPr>
      </w:pPr>
    </w:p>
    <w:p>
      <w:pPr>
        <w:pStyle w:val="1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righ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bookmarkEnd w:id="117"/>
    <w:bookmarkEnd w:id="118"/>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bookmarkStart w:id="119" w:name="_Toc217446089"/>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3"/>
        <w:rPr>
          <w:rFonts w:hint="eastAsia" w:ascii="宋体" w:hAnsi="宋体" w:eastAsia="宋体" w:cs="宋体"/>
          <w:color w:val="auto"/>
          <w:sz w:val="24"/>
          <w:szCs w:val="24"/>
          <w:highlight w:val="none"/>
          <w:lang w:val="en-US" w:eastAsia="zh-CN"/>
        </w:rPr>
      </w:pPr>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pStyle w:val="4"/>
        <w:spacing w:before="0" w:beforeLines="0" w:after="0" w:afterLines="0" w:line="360" w:lineRule="auto"/>
        <w:jc w:val="center"/>
        <w:rPr>
          <w:rFonts w:hint="eastAsia" w:ascii="宋体" w:hAnsi="宋体" w:eastAsia="宋体" w:cs="宋体"/>
          <w:color w:val="auto"/>
          <w:sz w:val="24"/>
          <w:szCs w:val="24"/>
          <w:highlight w:val="none"/>
          <w:lang w:val="en-US" w:eastAsia="zh-CN"/>
        </w:rPr>
      </w:pPr>
    </w:p>
    <w:p>
      <w:pPr>
        <w:pStyle w:val="4"/>
        <w:numPr>
          <w:ilvl w:val="0"/>
          <w:numId w:val="0"/>
        </w:numPr>
        <w:spacing w:before="0" w:beforeLines="0" w:after="0" w:afterLines="0"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三、结算账户开立综合指标表</w:t>
      </w:r>
    </w:p>
    <w:p>
      <w:pPr>
        <w:numPr>
          <w:ilvl w:val="0"/>
          <w:numId w:val="0"/>
        </w:numPr>
        <w:ind w:firstLine="480" w:firstLineChars="200"/>
        <w:jc w:val="both"/>
        <w:rPr>
          <w:rFonts w:hint="eastAsia" w:ascii="宋体" w:hAnsi="宋体" w:eastAsia="宋体" w:cs="宋体"/>
          <w:b w:val="0"/>
          <w:bCs w:val="0"/>
          <w:color w:val="auto"/>
          <w:sz w:val="24"/>
          <w:szCs w:val="24"/>
          <w:highlight w:val="none"/>
          <w:lang w:val="en-US" w:eastAsia="zh-CN"/>
        </w:rPr>
      </w:pPr>
    </w:p>
    <w:p>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填表单位：</w:t>
      </w:r>
    </w:p>
    <w:p>
      <w:pPr>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单位负责人：</w:t>
      </w:r>
    </w:p>
    <w:tbl>
      <w:tblPr>
        <w:tblStyle w:val="31"/>
        <w:tblW w:w="84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570"/>
        <w:gridCol w:w="453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058" w:type="dxa"/>
            <w:vAlign w:val="center"/>
          </w:tcPr>
          <w:p>
            <w:pPr>
              <w:spacing w:line="400" w:lineRule="exact"/>
              <w:ind w:firstLine="28"/>
              <w:jc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类别</w:t>
            </w:r>
          </w:p>
        </w:tc>
        <w:tc>
          <w:tcPr>
            <w:tcW w:w="1570" w:type="dxa"/>
            <w:vAlign w:val="center"/>
          </w:tcPr>
          <w:p>
            <w:pPr>
              <w:spacing w:line="400" w:lineRule="exact"/>
              <w:ind w:firstLine="28"/>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eastAsia="zh-CN"/>
              </w:rPr>
              <w:t>分项</w:t>
            </w:r>
            <w:r>
              <w:rPr>
                <w:rFonts w:hint="eastAsia" w:ascii="宋体" w:hAnsi="宋体" w:eastAsia="宋体" w:cs="宋体"/>
                <w:b/>
                <w:bCs/>
                <w:color w:val="auto"/>
                <w:sz w:val="20"/>
                <w:szCs w:val="20"/>
                <w:highlight w:val="none"/>
              </w:rPr>
              <w:t>指标</w:t>
            </w:r>
          </w:p>
        </w:tc>
        <w:tc>
          <w:tcPr>
            <w:tcW w:w="4530" w:type="dxa"/>
            <w:vAlign w:val="center"/>
          </w:tcPr>
          <w:p>
            <w:pPr>
              <w:spacing w:line="400" w:lineRule="exact"/>
              <w:ind w:firstLine="28"/>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数据</w:t>
            </w:r>
          </w:p>
        </w:tc>
        <w:tc>
          <w:tcPr>
            <w:tcW w:w="1287" w:type="dxa"/>
            <w:vAlign w:val="center"/>
          </w:tcPr>
          <w:p>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058" w:type="dxa"/>
            <w:vMerge w:val="restart"/>
            <w:vAlign w:val="center"/>
          </w:tcPr>
          <w:p>
            <w:pPr>
              <w:spacing w:line="400" w:lineRule="exact"/>
              <w:ind w:firstLine="28"/>
              <w:jc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经营状况</w:t>
            </w:r>
          </w:p>
        </w:tc>
        <w:tc>
          <w:tcPr>
            <w:tcW w:w="1570" w:type="dxa"/>
            <w:vAlign w:val="center"/>
          </w:tcPr>
          <w:p>
            <w:pPr>
              <w:spacing w:line="400" w:lineRule="exact"/>
              <w:ind w:firstLine="28"/>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2021年年末</w:t>
            </w:r>
            <w:r>
              <w:rPr>
                <w:rFonts w:hint="eastAsia" w:ascii="宋体" w:hAnsi="宋体" w:eastAsia="宋体" w:cs="宋体"/>
                <w:color w:val="auto"/>
                <w:sz w:val="20"/>
                <w:szCs w:val="20"/>
                <w:highlight w:val="none"/>
              </w:rPr>
              <w:t>总行</w:t>
            </w:r>
            <w:r>
              <w:rPr>
                <w:rFonts w:hint="eastAsia" w:ascii="宋体" w:hAnsi="宋体" w:eastAsia="宋体" w:cs="宋体"/>
                <w:color w:val="auto"/>
                <w:sz w:val="20"/>
                <w:szCs w:val="20"/>
                <w:highlight w:val="none"/>
                <w:lang w:eastAsia="zh-CN"/>
              </w:rPr>
              <w:t>净资产总额</w:t>
            </w:r>
          </w:p>
        </w:tc>
        <w:tc>
          <w:tcPr>
            <w:tcW w:w="4530" w:type="dxa"/>
            <w:vAlign w:val="center"/>
          </w:tcPr>
          <w:p>
            <w:pPr>
              <w:spacing w:line="400" w:lineRule="exact"/>
              <w:jc w:val="center"/>
              <w:rPr>
                <w:rFonts w:hint="eastAsia" w:ascii="宋体" w:hAnsi="宋体" w:eastAsia="宋体" w:cs="宋体"/>
                <w:color w:val="auto"/>
                <w:sz w:val="20"/>
                <w:szCs w:val="20"/>
                <w:highlight w:val="none"/>
                <w:lang w:val="en-US" w:eastAsia="zh-CN"/>
              </w:rPr>
            </w:pPr>
          </w:p>
        </w:tc>
        <w:tc>
          <w:tcPr>
            <w:tcW w:w="1287" w:type="dxa"/>
            <w:vAlign w:val="center"/>
          </w:tcPr>
          <w:p>
            <w:pPr>
              <w:spacing w:line="400" w:lineRule="exact"/>
              <w:jc w:val="lef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58" w:type="dxa"/>
            <w:vMerge w:val="continue"/>
            <w:vAlign w:val="center"/>
          </w:tcPr>
          <w:p>
            <w:pPr>
              <w:spacing w:line="400" w:lineRule="exact"/>
              <w:ind w:firstLine="28"/>
              <w:jc w:val="center"/>
              <w:rPr>
                <w:rFonts w:hint="eastAsia" w:ascii="宋体" w:hAnsi="宋体" w:eastAsia="宋体" w:cs="宋体"/>
                <w:b/>
                <w:bCs/>
                <w:color w:val="auto"/>
                <w:sz w:val="20"/>
                <w:szCs w:val="20"/>
                <w:highlight w:val="none"/>
              </w:rPr>
            </w:pPr>
          </w:p>
        </w:tc>
        <w:tc>
          <w:tcPr>
            <w:tcW w:w="1570" w:type="dxa"/>
            <w:vAlign w:val="center"/>
          </w:tcPr>
          <w:p>
            <w:pPr>
              <w:spacing w:line="4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2021年年末</w:t>
            </w:r>
            <w:r>
              <w:rPr>
                <w:rFonts w:hint="eastAsia" w:ascii="宋体" w:hAnsi="宋体" w:eastAsia="宋体" w:cs="宋体"/>
                <w:color w:val="auto"/>
                <w:sz w:val="20"/>
                <w:szCs w:val="20"/>
                <w:highlight w:val="none"/>
              </w:rPr>
              <w:t>总行资本充足率</w:t>
            </w:r>
          </w:p>
        </w:tc>
        <w:tc>
          <w:tcPr>
            <w:tcW w:w="4530" w:type="dxa"/>
            <w:vAlign w:val="center"/>
          </w:tcPr>
          <w:p>
            <w:pPr>
              <w:spacing w:line="400" w:lineRule="exact"/>
              <w:jc w:val="center"/>
              <w:rPr>
                <w:rFonts w:hint="eastAsia" w:ascii="宋体" w:hAnsi="宋体" w:eastAsia="宋体" w:cs="宋体"/>
                <w:color w:val="auto"/>
                <w:sz w:val="20"/>
                <w:szCs w:val="20"/>
                <w:highlight w:val="none"/>
                <w:lang w:val="en-US" w:eastAsia="zh-CN"/>
              </w:rPr>
            </w:pPr>
          </w:p>
        </w:tc>
        <w:tc>
          <w:tcPr>
            <w:tcW w:w="1287" w:type="dxa"/>
            <w:vAlign w:val="center"/>
          </w:tcPr>
          <w:p>
            <w:pPr>
              <w:spacing w:line="400" w:lineRule="exact"/>
              <w:jc w:val="center"/>
              <w:rPr>
                <w:rFonts w:hint="eastAsia" w:ascii="宋体" w:hAnsi="宋体" w:eastAsia="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058" w:type="dxa"/>
            <w:vMerge w:val="continue"/>
            <w:vAlign w:val="center"/>
          </w:tcPr>
          <w:p>
            <w:pPr>
              <w:spacing w:line="400" w:lineRule="exact"/>
              <w:ind w:firstLine="28"/>
              <w:jc w:val="center"/>
              <w:rPr>
                <w:rFonts w:hint="eastAsia" w:ascii="宋体" w:hAnsi="宋体" w:eastAsia="宋体" w:cs="宋体"/>
                <w:b/>
                <w:bCs/>
                <w:color w:val="auto"/>
                <w:sz w:val="20"/>
                <w:szCs w:val="20"/>
                <w:highlight w:val="none"/>
              </w:rPr>
            </w:pPr>
          </w:p>
        </w:tc>
        <w:tc>
          <w:tcPr>
            <w:tcW w:w="1570" w:type="dxa"/>
            <w:vAlign w:val="center"/>
          </w:tcPr>
          <w:p>
            <w:pPr>
              <w:spacing w:line="400" w:lineRule="exact"/>
              <w:ind w:firstLine="28"/>
              <w:jc w:val="left"/>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2021年年末</w:t>
            </w:r>
            <w:r>
              <w:rPr>
                <w:rFonts w:hint="eastAsia" w:ascii="宋体" w:hAnsi="宋体" w:eastAsia="宋体" w:cs="宋体"/>
                <w:color w:val="auto"/>
                <w:sz w:val="20"/>
                <w:szCs w:val="20"/>
                <w:highlight w:val="none"/>
              </w:rPr>
              <w:t>总行</w:t>
            </w:r>
            <w:r>
              <w:rPr>
                <w:rFonts w:hint="eastAsia" w:ascii="宋体" w:hAnsi="宋体" w:eastAsia="宋体" w:cs="宋体"/>
                <w:color w:val="auto"/>
                <w:sz w:val="20"/>
                <w:szCs w:val="20"/>
                <w:highlight w:val="none"/>
                <w:lang w:eastAsia="zh-CN"/>
              </w:rPr>
              <w:t>不良贷款率</w:t>
            </w:r>
          </w:p>
        </w:tc>
        <w:tc>
          <w:tcPr>
            <w:tcW w:w="4530" w:type="dxa"/>
            <w:vAlign w:val="center"/>
          </w:tcPr>
          <w:p>
            <w:pPr>
              <w:spacing w:line="400" w:lineRule="exact"/>
              <w:ind w:firstLine="28" w:firstLineChars="0"/>
              <w:jc w:val="center"/>
              <w:rPr>
                <w:rFonts w:hint="eastAsia" w:ascii="宋体" w:hAnsi="宋体" w:eastAsia="宋体" w:cs="宋体"/>
                <w:color w:val="auto"/>
                <w:sz w:val="20"/>
                <w:szCs w:val="20"/>
                <w:highlight w:val="none"/>
                <w:lang w:val="en-US" w:eastAsia="zh-CN"/>
              </w:rPr>
            </w:pPr>
          </w:p>
        </w:tc>
        <w:tc>
          <w:tcPr>
            <w:tcW w:w="1287" w:type="dxa"/>
            <w:vAlign w:val="center"/>
          </w:tcPr>
          <w:p>
            <w:pPr>
              <w:shd w:val="solid" w:color="FFFFFF" w:fill="auto"/>
              <w:autoSpaceDN w:val="0"/>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058" w:type="dxa"/>
            <w:vMerge w:val="continue"/>
            <w:vAlign w:val="center"/>
          </w:tcPr>
          <w:p>
            <w:pPr>
              <w:spacing w:line="400" w:lineRule="exact"/>
              <w:ind w:firstLine="28"/>
              <w:jc w:val="center"/>
              <w:rPr>
                <w:rFonts w:hint="eastAsia" w:ascii="宋体" w:hAnsi="宋体" w:eastAsia="宋体" w:cs="宋体"/>
                <w:b/>
                <w:bCs/>
                <w:color w:val="auto"/>
                <w:sz w:val="20"/>
                <w:szCs w:val="20"/>
                <w:highlight w:val="none"/>
              </w:rPr>
            </w:pPr>
          </w:p>
        </w:tc>
        <w:tc>
          <w:tcPr>
            <w:tcW w:w="1570" w:type="dxa"/>
            <w:vAlign w:val="center"/>
          </w:tcPr>
          <w:p>
            <w:pPr>
              <w:spacing w:line="400" w:lineRule="exact"/>
              <w:ind w:firstLine="28"/>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2021年年末</w:t>
            </w:r>
            <w:r>
              <w:rPr>
                <w:rFonts w:hint="eastAsia" w:ascii="宋体" w:hAnsi="宋体" w:eastAsia="宋体" w:cs="宋体"/>
                <w:color w:val="auto"/>
                <w:sz w:val="20"/>
                <w:szCs w:val="20"/>
                <w:highlight w:val="none"/>
              </w:rPr>
              <w:t>总</w:t>
            </w:r>
            <w:r>
              <w:rPr>
                <w:rFonts w:hint="eastAsia" w:ascii="宋体" w:hAnsi="宋体" w:eastAsia="宋体" w:cs="宋体"/>
                <w:color w:val="auto"/>
                <w:sz w:val="20"/>
                <w:szCs w:val="20"/>
                <w:highlight w:val="none"/>
                <w:lang w:eastAsia="zh-CN"/>
              </w:rPr>
              <w:t>行资产利润率</w:t>
            </w:r>
          </w:p>
        </w:tc>
        <w:tc>
          <w:tcPr>
            <w:tcW w:w="4530" w:type="dxa"/>
            <w:vAlign w:val="center"/>
          </w:tcPr>
          <w:p>
            <w:pPr>
              <w:spacing w:line="400" w:lineRule="exact"/>
              <w:jc w:val="center"/>
              <w:rPr>
                <w:rFonts w:hint="eastAsia" w:ascii="宋体" w:hAnsi="宋体" w:eastAsia="宋体" w:cs="宋体"/>
                <w:color w:val="auto"/>
                <w:sz w:val="20"/>
                <w:szCs w:val="20"/>
                <w:highlight w:val="none"/>
                <w:lang w:val="en-US" w:eastAsia="zh-CN"/>
              </w:rPr>
            </w:pPr>
          </w:p>
        </w:tc>
        <w:tc>
          <w:tcPr>
            <w:tcW w:w="1287" w:type="dxa"/>
            <w:vAlign w:val="center"/>
          </w:tcPr>
          <w:p>
            <w:pPr>
              <w:spacing w:line="400" w:lineRule="exact"/>
              <w:ind w:left="-38"/>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58" w:type="dxa"/>
            <w:vMerge w:val="continue"/>
            <w:tcBorders>
              <w:bottom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2021年年末</w:t>
            </w:r>
            <w:r>
              <w:rPr>
                <w:rFonts w:hint="eastAsia" w:ascii="宋体" w:hAnsi="宋体" w:eastAsia="宋体" w:cs="宋体"/>
                <w:color w:val="auto"/>
                <w:sz w:val="20"/>
                <w:szCs w:val="20"/>
                <w:highlight w:val="none"/>
              </w:rPr>
              <w:t>总行流动性比例</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firstLineChars="0"/>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58" w:type="dxa"/>
            <w:vMerge w:val="restart"/>
            <w:vAlign w:val="center"/>
          </w:tcPr>
          <w:p>
            <w:pPr>
              <w:spacing w:line="400" w:lineRule="exact"/>
              <w:ind w:firstLine="28"/>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贡献度指标</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2021年全区贷款投放金额</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hint="eastAsia" w:ascii="宋体" w:hAnsi="宋体" w:eastAsia="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58" w:type="dxa"/>
            <w:vMerge w:val="continue"/>
            <w:vAlign w:val="center"/>
          </w:tcPr>
          <w:p>
            <w:pPr>
              <w:spacing w:line="400" w:lineRule="exact"/>
              <w:ind w:firstLine="28"/>
              <w:jc w:val="center"/>
              <w:rPr>
                <w:rFonts w:hint="eastAsia" w:ascii="宋体" w:hAnsi="宋体" w:eastAsia="宋体" w:cs="宋体"/>
                <w:b/>
                <w:bCs/>
                <w:color w:val="auto"/>
                <w:sz w:val="20"/>
                <w:szCs w:val="20"/>
                <w:highlight w:val="none"/>
                <w:lang w:val="en-US"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温江地区</w:t>
            </w:r>
            <w:r>
              <w:rPr>
                <w:rFonts w:hint="eastAsia" w:ascii="宋体" w:hAnsi="宋体" w:eastAsia="宋体" w:cs="宋体"/>
                <w:color w:val="auto"/>
                <w:sz w:val="20"/>
                <w:szCs w:val="20"/>
                <w:highlight w:val="none"/>
                <w:lang w:val="en-US" w:eastAsia="zh-CN"/>
              </w:rPr>
              <w:t>各金融</w:t>
            </w:r>
            <w:r>
              <w:rPr>
                <w:rFonts w:hint="eastAsia" w:ascii="宋体" w:hAnsi="宋体" w:eastAsia="宋体" w:cs="宋体"/>
                <w:color w:val="auto"/>
                <w:sz w:val="20"/>
                <w:szCs w:val="20"/>
                <w:highlight w:val="none"/>
              </w:rPr>
              <w:t>存贷比情况</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hint="eastAsia" w:ascii="宋体" w:hAnsi="宋体" w:eastAsia="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58" w:type="dxa"/>
            <w:vMerge w:val="continue"/>
            <w:vAlign w:val="center"/>
          </w:tcPr>
          <w:p>
            <w:pPr>
              <w:spacing w:line="400" w:lineRule="exact"/>
              <w:ind w:firstLine="28"/>
              <w:jc w:val="center"/>
              <w:rPr>
                <w:rFonts w:hint="eastAsia" w:ascii="宋体" w:hAnsi="宋体" w:eastAsia="宋体" w:cs="宋体"/>
                <w:b/>
                <w:bCs/>
                <w:color w:val="auto"/>
                <w:sz w:val="20"/>
                <w:szCs w:val="20"/>
                <w:highlight w:val="none"/>
                <w:lang w:val="en-US"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温江地区各金融机构新增</w:t>
            </w:r>
            <w:r>
              <w:rPr>
                <w:rFonts w:hint="eastAsia" w:ascii="宋体" w:hAnsi="宋体" w:eastAsia="宋体" w:cs="宋体"/>
                <w:color w:val="auto"/>
                <w:sz w:val="20"/>
                <w:szCs w:val="20"/>
                <w:highlight w:val="none"/>
                <w:lang w:val="en-US" w:eastAsia="zh-CN"/>
              </w:rPr>
              <w:t>贷</w:t>
            </w:r>
            <w:r>
              <w:rPr>
                <w:rFonts w:hint="eastAsia" w:ascii="宋体" w:hAnsi="宋体" w:eastAsia="宋体" w:cs="宋体"/>
                <w:color w:val="auto"/>
                <w:sz w:val="20"/>
                <w:szCs w:val="20"/>
                <w:highlight w:val="none"/>
              </w:rPr>
              <w:t>款</w:t>
            </w:r>
            <w:r>
              <w:rPr>
                <w:rFonts w:hint="eastAsia" w:ascii="宋体" w:hAnsi="宋体" w:eastAsia="宋体" w:cs="宋体"/>
                <w:color w:val="auto"/>
                <w:sz w:val="20"/>
                <w:szCs w:val="20"/>
                <w:highlight w:val="none"/>
                <w:lang w:val="en-US" w:eastAsia="zh-CN"/>
              </w:rPr>
              <w:t>占比情况</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hint="eastAsia" w:ascii="宋体" w:hAnsi="宋体" w:eastAsia="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058" w:type="dxa"/>
            <w:vMerge w:val="continue"/>
            <w:tcBorders>
              <w:bottom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lang w:val="en-US"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温江地区各金融机构新增存款</w:t>
            </w:r>
            <w:r>
              <w:rPr>
                <w:rFonts w:hint="eastAsia" w:ascii="宋体" w:hAnsi="宋体" w:eastAsia="宋体" w:cs="宋体"/>
                <w:color w:val="auto"/>
                <w:sz w:val="20"/>
                <w:szCs w:val="20"/>
                <w:highlight w:val="none"/>
                <w:lang w:val="en-US" w:eastAsia="zh-CN"/>
              </w:rPr>
              <w:t>占比情况</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hint="eastAsia" w:ascii="宋体" w:hAnsi="宋体" w:eastAsia="宋体" w:cs="宋体"/>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1058" w:type="dxa"/>
            <w:vMerge w:val="restart"/>
            <w:tcBorders>
              <w:top w:val="single" w:color="auto" w:sz="4" w:space="0"/>
              <w:left w:val="single" w:color="auto" w:sz="4" w:space="0"/>
              <w:right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lang w:eastAsia="zh-CN"/>
              </w:rPr>
            </w:pPr>
            <w:r>
              <w:rPr>
                <w:rFonts w:hint="eastAsia" w:ascii="宋体" w:hAnsi="宋体" w:eastAsia="宋体" w:cs="宋体"/>
                <w:b/>
                <w:bCs/>
                <w:color w:val="auto"/>
                <w:sz w:val="20"/>
                <w:szCs w:val="20"/>
                <w:highlight w:val="none"/>
                <w:lang w:eastAsia="zh-CN"/>
              </w:rPr>
              <w:t>服务水平</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银行业机构综合评价情况</w:t>
            </w:r>
          </w:p>
        </w:tc>
        <w:tc>
          <w:tcPr>
            <w:tcW w:w="453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leftChars="0"/>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58" w:type="dxa"/>
            <w:vMerge w:val="continue"/>
            <w:tcBorders>
              <w:left w:val="single" w:color="auto" w:sz="4" w:space="0"/>
              <w:right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lang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法人总部设立情况</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kern w:val="0"/>
                <w:sz w:val="20"/>
                <w:szCs w:val="20"/>
                <w:highlight w:val="none"/>
                <w:lang w:val="en-US" w:eastAsia="zh-CN" w:bidi="ar"/>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58" w:type="dxa"/>
            <w:vMerge w:val="continue"/>
            <w:tcBorders>
              <w:left w:val="single" w:color="auto" w:sz="4" w:space="0"/>
              <w:right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lang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产业功能区金 融服务牵头行情况</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kern w:val="0"/>
                <w:sz w:val="20"/>
                <w:szCs w:val="20"/>
                <w:highlight w:val="none"/>
                <w:lang w:val="en-US" w:eastAsia="zh-CN" w:bidi="ar"/>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105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利率水平</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银行存款利率</w:t>
            </w:r>
          </w:p>
        </w:tc>
        <w:tc>
          <w:tcPr>
            <w:tcW w:w="45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hint="eastAsia" w:ascii="宋体" w:hAnsi="宋体" w:eastAsia="宋体" w:cs="宋体"/>
                <w:color w:val="auto"/>
                <w:sz w:val="20"/>
                <w:szCs w:val="20"/>
                <w:highlight w:val="none"/>
                <w:lang w:val="en-US" w:eastAsia="zh-CN"/>
              </w:rPr>
            </w:pPr>
          </w:p>
        </w:tc>
      </w:tr>
      <w:bookmarkEnd w:id="119"/>
    </w:tbl>
    <w:p>
      <w:pPr>
        <w:pStyle w:val="18"/>
        <w:spacing w:line="520" w:lineRule="exact"/>
        <w:ind w:left="0" w:leftChars="0" w:firstLine="0" w:firstLineChars="0"/>
        <w:rPr>
          <w:rFonts w:hint="eastAsia" w:ascii="宋体" w:hAnsi="宋体" w:eastAsia="宋体" w:cs="宋体"/>
          <w:bCs/>
          <w:color w:val="auto"/>
          <w:sz w:val="24"/>
          <w:szCs w:val="24"/>
          <w:highlight w:val="none"/>
        </w:rPr>
      </w:pPr>
      <w:bookmarkStart w:id="120" w:name="_Toc217446084"/>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18"/>
        <w:spacing w:line="520" w:lineRule="exact"/>
        <w:ind w:left="0" w:leftChars="0" w:firstLine="0" w:firstLineChars="0"/>
        <w:rPr>
          <w:rFonts w:hint="eastAsia" w:ascii="宋体" w:hAnsi="宋体" w:eastAsia="宋体" w:cs="宋体"/>
          <w:bCs/>
          <w:color w:val="auto"/>
          <w:sz w:val="24"/>
          <w:szCs w:val="24"/>
          <w:highlight w:val="none"/>
        </w:rPr>
      </w:pPr>
    </w:p>
    <w:p>
      <w:pPr>
        <w:pStyle w:val="5"/>
        <w:numPr>
          <w:ilvl w:val="0"/>
          <w:numId w:val="3"/>
        </w:numPr>
        <w:rPr>
          <w:rFonts w:hint="eastAsia" w:ascii="宋体" w:hAnsi="宋体" w:eastAsia="宋体" w:cs="宋体"/>
          <w:b w:val="0"/>
          <w:color w:val="auto"/>
          <w:sz w:val="24"/>
          <w:szCs w:val="24"/>
          <w:highlight w:val="none"/>
        </w:rPr>
      </w:pPr>
      <w:bookmarkStart w:id="121" w:name="_Toc16507560"/>
      <w:r>
        <w:rPr>
          <w:rFonts w:hint="eastAsia" w:ascii="宋体" w:hAnsi="宋体" w:eastAsia="宋体" w:cs="宋体"/>
          <w:b w:val="0"/>
          <w:color w:val="auto"/>
          <w:sz w:val="24"/>
          <w:szCs w:val="24"/>
          <w:highlight w:val="none"/>
        </w:rPr>
        <w:t>资质证书及其他证明材料</w:t>
      </w:r>
      <w:bookmarkEnd w:id="121"/>
    </w:p>
    <w:p>
      <w:pPr>
        <w:numPr>
          <w:ilvl w:val="0"/>
          <w:numId w:val="0"/>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根据评选办法须提供的相关证明材料：营业执照</w:t>
      </w:r>
      <w:r>
        <w:rPr>
          <w:rFonts w:hint="eastAsia" w:ascii="宋体" w:hAnsi="宋体" w:cs="宋体"/>
          <w:b w:val="0"/>
          <w:bCs w:val="0"/>
          <w:color w:val="auto"/>
          <w:sz w:val="24"/>
          <w:szCs w:val="24"/>
          <w:highlight w:val="none"/>
          <w:lang w:val="en-US" w:eastAsia="zh-CN"/>
        </w:rPr>
        <w:t>复印件</w:t>
      </w:r>
      <w:r>
        <w:rPr>
          <w:rFonts w:hint="eastAsia" w:ascii="宋体" w:hAnsi="宋体" w:eastAsia="宋体" w:cs="宋体"/>
          <w:b w:val="0"/>
          <w:bCs w:val="0"/>
          <w:color w:val="auto"/>
          <w:sz w:val="24"/>
          <w:szCs w:val="24"/>
          <w:highlight w:val="none"/>
          <w:lang w:val="en-US" w:eastAsia="zh-CN"/>
        </w:rPr>
        <w:t>、法定代表人（负责人）资格证明书</w:t>
      </w:r>
      <w:r>
        <w:rPr>
          <w:rFonts w:hint="eastAsia" w:ascii="宋体" w:hAnsi="宋体" w:cs="宋体"/>
          <w:b w:val="0"/>
          <w:bCs w:val="0"/>
          <w:color w:val="auto"/>
          <w:sz w:val="24"/>
          <w:szCs w:val="24"/>
          <w:highlight w:val="none"/>
          <w:lang w:val="en-US" w:eastAsia="zh-CN"/>
        </w:rPr>
        <w:t>复印件</w:t>
      </w:r>
      <w:r>
        <w:rPr>
          <w:rFonts w:hint="eastAsia" w:ascii="宋体" w:hAnsi="宋体" w:eastAsia="宋体" w:cs="宋体"/>
          <w:b w:val="0"/>
          <w:bCs w:val="0"/>
          <w:color w:val="auto"/>
          <w:sz w:val="24"/>
          <w:szCs w:val="24"/>
          <w:highlight w:val="none"/>
          <w:lang w:val="en-US" w:eastAsia="zh-CN"/>
        </w:rPr>
        <w:t>。</w:t>
      </w:r>
    </w:p>
    <w:p>
      <w:pPr>
        <w:numPr>
          <w:ilvl w:val="0"/>
          <w:numId w:val="0"/>
        </w:numPr>
        <w:jc w:val="left"/>
        <w:rPr>
          <w:rFonts w:hint="eastAsia" w:ascii="宋体" w:hAnsi="宋体" w:eastAsia="宋体" w:cs="宋体"/>
          <w:b w:val="0"/>
          <w:bCs w:val="0"/>
          <w:color w:val="auto"/>
          <w:sz w:val="24"/>
          <w:szCs w:val="24"/>
          <w:highlight w:val="none"/>
          <w:lang w:val="en-US" w:eastAsia="zh-CN"/>
        </w:rPr>
      </w:pPr>
    </w:p>
    <w:p>
      <w:pPr>
        <w:spacing w:line="360" w:lineRule="auto"/>
        <w:ind w:right="-687" w:rightChars="-327"/>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p>
      <w:pPr>
        <w:widowControl/>
        <w:spacing w:line="360" w:lineRule="auto"/>
        <w:rPr>
          <w:rFonts w:hint="eastAsia" w:ascii="宋体" w:hAnsi="宋体" w:eastAsia="宋体" w:cs="宋体"/>
          <w:color w:val="auto"/>
          <w:sz w:val="24"/>
          <w:szCs w:val="24"/>
          <w:highlight w:val="none"/>
        </w:rPr>
      </w:pPr>
    </w:p>
    <w:bookmarkEnd w:id="120"/>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spacing w:line="360" w:lineRule="auto"/>
        <w:rPr>
          <w:rFonts w:hint="eastAsia" w:ascii="宋体" w:hAnsi="宋体" w:eastAsia="宋体" w:cs="宋体"/>
          <w:bCs w:val="0"/>
          <w:color w:val="auto"/>
          <w:sz w:val="32"/>
          <w:szCs w:val="32"/>
          <w:highlight w:val="none"/>
        </w:rPr>
      </w:pPr>
      <w:bookmarkStart w:id="122" w:name="_Toc217446096"/>
      <w:bookmarkStart w:id="123" w:name="_Toc499726533"/>
      <w:bookmarkStart w:id="124" w:name="_Toc513712833"/>
      <w:bookmarkStart w:id="125" w:name="_Toc16507561"/>
      <w:bookmarkStart w:id="126" w:name="_Toc101174146"/>
      <w:bookmarkStart w:id="127" w:name="_Toc101250640"/>
      <w:bookmarkStart w:id="128" w:name="_Toc101338358"/>
      <w:bookmarkStart w:id="129" w:name="_Toc209847065"/>
      <w:bookmarkStart w:id="130" w:name="_Toc430773924"/>
      <w:r>
        <w:rPr>
          <w:rFonts w:hint="eastAsia" w:ascii="宋体" w:hAnsi="宋体" w:eastAsia="宋体" w:cs="宋体"/>
          <w:bCs w:val="0"/>
          <w:color w:val="auto"/>
          <w:sz w:val="32"/>
          <w:szCs w:val="32"/>
          <w:highlight w:val="none"/>
        </w:rPr>
        <w:t>第六章  评选办法</w:t>
      </w:r>
      <w:bookmarkEnd w:id="122"/>
      <w:bookmarkEnd w:id="123"/>
      <w:bookmarkEnd w:id="124"/>
      <w:bookmarkEnd w:id="125"/>
      <w:bookmarkStart w:id="131" w:name="_Hlt101846155"/>
      <w:bookmarkEnd w:id="131"/>
    </w:p>
    <w:p>
      <w:pPr>
        <w:pStyle w:val="5"/>
        <w:spacing w:line="360" w:lineRule="auto"/>
        <w:rPr>
          <w:rFonts w:hint="eastAsia" w:ascii="宋体" w:hAnsi="宋体" w:eastAsia="宋体" w:cs="宋体"/>
          <w:b w:val="0"/>
          <w:color w:val="auto"/>
          <w:sz w:val="24"/>
          <w:szCs w:val="24"/>
          <w:highlight w:val="none"/>
          <w:lang w:val="en-US" w:eastAsia="zh-CN"/>
        </w:rPr>
      </w:pPr>
      <w:bookmarkStart w:id="132" w:name="_Toc16507562"/>
      <w:r>
        <w:rPr>
          <w:rFonts w:hint="eastAsia" w:ascii="宋体" w:hAnsi="宋体" w:eastAsia="宋体" w:cs="宋体"/>
          <w:b w:val="0"/>
          <w:color w:val="auto"/>
          <w:sz w:val="24"/>
          <w:szCs w:val="24"/>
          <w:highlight w:val="none"/>
        </w:rPr>
        <w:t>一、</w:t>
      </w:r>
      <w:bookmarkEnd w:id="132"/>
      <w:r>
        <w:rPr>
          <w:rFonts w:hint="eastAsia" w:ascii="宋体" w:hAnsi="宋体" w:eastAsia="宋体" w:cs="宋体"/>
          <w:b w:val="0"/>
          <w:color w:val="auto"/>
          <w:sz w:val="24"/>
          <w:szCs w:val="24"/>
          <w:highlight w:val="none"/>
          <w:lang w:val="en-US" w:eastAsia="zh-CN"/>
        </w:rPr>
        <w:t>集体决策</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根据《四川省财政厅关于印发&lt;四川省财政部门和预算单位资金存放管理实施办法&gt;的通知》（川财规〔2018〕17号）</w:t>
      </w:r>
      <w:r>
        <w:rPr>
          <w:rFonts w:hint="eastAsia" w:ascii="宋体" w:hAnsi="宋体" w:eastAsia="宋体" w:cs="宋体"/>
          <w:bCs/>
          <w:color w:val="auto"/>
          <w:sz w:val="24"/>
          <w:szCs w:val="24"/>
          <w:highlight w:val="none"/>
        </w:rPr>
        <w:t>等</w:t>
      </w:r>
      <w:r>
        <w:rPr>
          <w:rFonts w:hint="eastAsia" w:ascii="宋体" w:hAnsi="宋体" w:eastAsia="宋体" w:cs="宋体"/>
          <w:color w:val="auto"/>
          <w:sz w:val="24"/>
          <w:szCs w:val="24"/>
          <w:highlight w:val="none"/>
        </w:rPr>
        <w:t>有关规定及本次</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项目特点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将评分过程和结果</w:t>
      </w:r>
      <w:r>
        <w:rPr>
          <w:rFonts w:hint="eastAsia" w:ascii="宋体" w:hAnsi="宋体" w:cs="宋体"/>
          <w:color w:val="auto"/>
          <w:sz w:val="24"/>
          <w:szCs w:val="24"/>
          <w:highlight w:val="none"/>
          <w:lang w:val="en-US" w:eastAsia="zh-CN"/>
        </w:rPr>
        <w:t>提交</w:t>
      </w:r>
      <w:r>
        <w:rPr>
          <w:rFonts w:hint="eastAsia" w:ascii="宋体" w:hAnsi="宋体" w:eastAsia="宋体" w:cs="宋体"/>
          <w:color w:val="auto"/>
          <w:sz w:val="24"/>
          <w:szCs w:val="24"/>
          <w:highlight w:val="none"/>
          <w:lang w:val="en-US" w:eastAsia="zh-CN"/>
        </w:rPr>
        <w:t>资金存放主体单位领导办公会议集体</w:t>
      </w:r>
      <w:r>
        <w:rPr>
          <w:rFonts w:hint="eastAsia" w:ascii="宋体" w:hAnsi="宋体" w:cs="宋体"/>
          <w:color w:val="auto"/>
          <w:sz w:val="24"/>
          <w:szCs w:val="24"/>
          <w:highlight w:val="none"/>
          <w:lang w:val="en-US" w:eastAsia="zh-CN"/>
        </w:rPr>
        <w:t>讨论决定</w:t>
      </w:r>
      <w:r>
        <w:rPr>
          <w:rFonts w:hint="eastAsia" w:ascii="宋体" w:hAnsi="宋体" w:eastAsia="宋体" w:cs="宋体"/>
          <w:color w:val="auto"/>
          <w:sz w:val="24"/>
          <w:szCs w:val="24"/>
          <w:highlight w:val="none"/>
          <w:lang w:val="en-US" w:eastAsia="zh-CN"/>
        </w:rPr>
        <w:t>。</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（一）评选工作应依据有关规定，遵循公平、公正、科学、择优的原则，并以相同的评选程序和标准对待所有的申请人。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（三）评选委员会按照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文件规定的评选方法和标准进行评选，并独立履行下列职责：</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文件是否符合</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文件要求，进行资格性及符合性审查，并作出评价；</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2.根据需要要求申请人对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文件有关事项作出解释或者澄清；</w:t>
      </w:r>
    </w:p>
    <w:p>
      <w:pPr>
        <w:spacing w:line="360" w:lineRule="auto"/>
        <w:ind w:firstLine="480" w:firstLineChars="200"/>
        <w:rPr>
          <w:rFonts w:hint="eastAsia" w:ascii="宋体" w:hAnsi="宋体" w:eastAsia="宋体" w:cs="宋体"/>
          <w:color w:val="auto"/>
          <w:sz w:val="24"/>
          <w:szCs w:val="24"/>
          <w:highlight w:val="none"/>
        </w:rPr>
      </w:pPr>
      <w:bookmarkStart w:id="133" w:name="_Toc513714643"/>
      <w:bookmarkStart w:id="134" w:name="_Toc513713526"/>
      <w:bookmarkStart w:id="135" w:name="_Toc513763637"/>
      <w:bookmarkStart w:id="136" w:name="_Toc217446098"/>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资金存放主体单位领导办公会议</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活动中承担以下义务：</w:t>
      </w:r>
      <w:bookmarkEnd w:id="133"/>
      <w:bookmarkEnd w:id="134"/>
      <w:bookmarkEnd w:id="13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1.遵纪守法，客观、公正、廉洁地履行职责；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文件的规定要求对申请人的基本资格条件和申请人提供的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文件严格进行评判，提供科学合理、公平公正的评选意见，参与起草评分结果报告，并予签字确认；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3.保守秘密。不得透露</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文件咨询情况，不得泄漏申请人的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文件及知悉的商业秘密，不得向申请人透露评选情况。</w:t>
      </w:r>
    </w:p>
    <w:p>
      <w:pPr>
        <w:pStyle w:val="5"/>
        <w:spacing w:line="360" w:lineRule="auto"/>
        <w:rPr>
          <w:rFonts w:hint="eastAsia" w:ascii="宋体" w:hAnsi="宋体" w:eastAsia="宋体" w:cs="宋体"/>
          <w:b w:val="0"/>
          <w:color w:val="auto"/>
          <w:sz w:val="24"/>
          <w:szCs w:val="24"/>
          <w:highlight w:val="none"/>
        </w:rPr>
      </w:pPr>
      <w:bookmarkStart w:id="137" w:name="_Toc16507563"/>
      <w:r>
        <w:rPr>
          <w:rFonts w:hint="eastAsia" w:ascii="宋体" w:hAnsi="宋体" w:eastAsia="宋体" w:cs="宋体"/>
          <w:b w:val="0"/>
          <w:color w:val="auto"/>
          <w:sz w:val="24"/>
          <w:szCs w:val="24"/>
          <w:highlight w:val="none"/>
        </w:rPr>
        <w:t>二、评选程序</w:t>
      </w:r>
      <w:bookmarkEnd w:id="136"/>
      <w:bookmarkEnd w:id="137"/>
    </w:p>
    <w:p>
      <w:pPr>
        <w:spacing w:line="360" w:lineRule="auto"/>
        <w:ind w:firstLine="480"/>
        <w:rPr>
          <w:rFonts w:hint="eastAsia" w:ascii="宋体" w:hAnsi="宋体" w:eastAsia="宋体" w:cs="宋体"/>
          <w:color w:val="auto"/>
          <w:sz w:val="24"/>
          <w:szCs w:val="24"/>
          <w:highlight w:val="none"/>
        </w:rPr>
      </w:pPr>
      <w:bookmarkStart w:id="138" w:name="_Toc217446099"/>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文件初审。初审由评选委员会全体成员共同进行，分为资格性检查和符合性检查。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1.资格性检查。依据《四川省财政厅关于印发&lt;四川省财政部门和预算单位资金存放管理实施办法&gt;的通知》（川财规〔2018〕17号）和</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文件的有关规定，对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文件中的资格证明等进行审查，以确定申请人是否具备资格。申请人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文件有下列情况之一的，在资格性检查时按照无效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（1）属于禁止参加的银行；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（2）不具备竞争性选择文件中规定的基本资格要求的；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（3）未按规定要求提供资格性证明材料的；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（4）其他不符合法律、法规、规章规定的资格性要求的。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文件的规定，从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文件的有效性、完整性和对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文件进行审查，申请人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文件有下列情况之一的，在符合性检查时按照无效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份数</w:t>
      </w:r>
      <w:r>
        <w:rPr>
          <w:rFonts w:hint="eastAsia" w:ascii="宋体" w:hAnsi="宋体" w:eastAsia="宋体" w:cs="宋体"/>
          <w:color w:val="auto"/>
          <w:sz w:val="24"/>
          <w:szCs w:val="24"/>
          <w:highlight w:val="none"/>
        </w:rPr>
        <w:t>数量不足的；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文件规定要求签署、盖章的；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文件组成明显不符合</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文件的规定要求，影响评判的；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文件的语言、计量单位、利率等不符合</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文件的规定，影响评判的；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文件规定的其他无效情形。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资金存放主体单位领导办公会议</w:t>
      </w:r>
      <w:r>
        <w:rPr>
          <w:rFonts w:hint="eastAsia" w:ascii="宋体" w:hAnsi="宋体" w:eastAsia="宋体" w:cs="宋体"/>
          <w:color w:val="auto"/>
          <w:sz w:val="24"/>
          <w:szCs w:val="24"/>
          <w:highlight w:val="none"/>
        </w:rPr>
        <w:t>在评选文件初审过程中，对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文件是否符合规定存在争议的，应当以少数服从多数的原则处理，但不得违背</w:t>
      </w:r>
      <w:r>
        <w:rPr>
          <w:rFonts w:hint="eastAsia" w:ascii="宋体" w:hAnsi="宋体" w:eastAsia="宋体" w:cs="宋体"/>
          <w:bCs/>
          <w:color w:val="auto"/>
          <w:sz w:val="24"/>
          <w:szCs w:val="24"/>
          <w:highlight w:val="none"/>
        </w:rPr>
        <w:t>川财规〔2018〕17号</w:t>
      </w:r>
      <w:r>
        <w:rPr>
          <w:rFonts w:hint="eastAsia" w:ascii="宋体" w:hAnsi="宋体" w:eastAsia="宋体" w:cs="宋体"/>
          <w:color w:val="auto"/>
          <w:sz w:val="24"/>
          <w:szCs w:val="24"/>
          <w:highlight w:val="none"/>
        </w:rPr>
        <w:t>规定和竞争性选择文件的规定。</w:t>
      </w:r>
    </w:p>
    <w:bookmarkEnd w:id="138"/>
    <w:p>
      <w:pPr>
        <w:pStyle w:val="5"/>
        <w:spacing w:line="360" w:lineRule="auto"/>
        <w:jc w:val="center"/>
        <w:rPr>
          <w:rFonts w:hint="eastAsia" w:ascii="宋体" w:hAnsi="宋体" w:eastAsia="宋体" w:cs="宋体"/>
          <w:b w:val="0"/>
          <w:color w:val="auto"/>
          <w:sz w:val="24"/>
          <w:szCs w:val="24"/>
          <w:highlight w:val="none"/>
        </w:rPr>
      </w:pPr>
      <w:bookmarkStart w:id="139" w:name="_Toc513713523"/>
      <w:bookmarkStart w:id="140" w:name="_Toc513714640"/>
      <w:bookmarkStart w:id="141" w:name="_Toc513763634"/>
      <w:bookmarkStart w:id="142" w:name="_Toc217446101"/>
      <w:bookmarkStart w:id="143" w:name="_Toc16507564"/>
      <w:r>
        <w:rPr>
          <w:rFonts w:hint="eastAsia" w:ascii="宋体" w:hAnsi="宋体" w:eastAsia="宋体" w:cs="宋体"/>
          <w:b w:val="0"/>
          <w:color w:val="auto"/>
          <w:sz w:val="24"/>
          <w:szCs w:val="24"/>
          <w:highlight w:val="none"/>
        </w:rPr>
        <w:t>三、评选方法</w:t>
      </w:r>
      <w:bookmarkEnd w:id="139"/>
      <w:bookmarkEnd w:id="140"/>
      <w:bookmarkEnd w:id="141"/>
      <w:bookmarkEnd w:id="142"/>
      <w:bookmarkEnd w:id="143"/>
    </w:p>
    <w:p>
      <w:pPr>
        <w:pStyle w:val="8"/>
        <w:spacing w:line="360" w:lineRule="auto"/>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（一）本项目评选方法为综合评分法。</w:t>
      </w:r>
    </w:p>
    <w:p>
      <w:pPr>
        <w:pStyle w:val="5"/>
        <w:spacing w:line="360" w:lineRule="auto"/>
        <w:rPr>
          <w:rFonts w:hint="eastAsia" w:ascii="宋体" w:hAnsi="宋体" w:eastAsia="宋体" w:cs="宋体"/>
          <w:b w:val="0"/>
          <w:color w:val="auto"/>
          <w:sz w:val="24"/>
          <w:szCs w:val="24"/>
          <w:highlight w:val="none"/>
        </w:rPr>
      </w:pPr>
      <w:bookmarkStart w:id="144" w:name="_Toc513763635"/>
      <w:bookmarkStart w:id="145" w:name="_Toc16507565"/>
      <w:bookmarkStart w:id="146" w:name="_Toc217446103"/>
      <w:bookmarkStart w:id="147" w:name="_Toc513713524"/>
      <w:bookmarkStart w:id="148" w:name="_Toc513714641"/>
      <w:r>
        <w:rPr>
          <w:rFonts w:hint="eastAsia" w:ascii="宋体" w:hAnsi="宋体" w:eastAsia="宋体" w:cs="宋体"/>
          <w:b w:val="0"/>
          <w:color w:val="auto"/>
          <w:sz w:val="24"/>
          <w:szCs w:val="24"/>
          <w:highlight w:val="none"/>
        </w:rPr>
        <w:t>四、评选细则及标准</w:t>
      </w:r>
      <w:bookmarkEnd w:id="144"/>
      <w:bookmarkEnd w:id="145"/>
      <w:bookmarkEnd w:id="146"/>
      <w:bookmarkEnd w:id="147"/>
      <w:bookmarkEnd w:id="148"/>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（一）只对通过初审的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文件，根据</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文件的要求采用相同的评选程序、评选办法及标准进行评价和比较。</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（二）本次综合评分的主要因素是：详见综合评分表。</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（三）综合评分表：</w:t>
      </w:r>
    </w:p>
    <w:p>
      <w:pPr>
        <w:spacing w:line="360" w:lineRule="auto"/>
        <w:ind w:firstLine="480"/>
        <w:rPr>
          <w:rFonts w:hint="eastAsia" w:ascii="宋体" w:hAnsi="宋体" w:eastAsia="宋体" w:cs="宋体"/>
          <w:color w:val="auto"/>
          <w:sz w:val="24"/>
          <w:szCs w:val="24"/>
          <w:highlight w:val="none"/>
        </w:rPr>
      </w:pPr>
    </w:p>
    <w:bookmarkEnd w:id="108"/>
    <w:bookmarkEnd w:id="126"/>
    <w:bookmarkEnd w:id="127"/>
    <w:bookmarkEnd w:id="128"/>
    <w:bookmarkEnd w:id="129"/>
    <w:bookmarkEnd w:id="130"/>
    <w:p>
      <w:pPr>
        <w:pStyle w:val="12"/>
        <w:tabs>
          <w:tab w:val="left" w:pos="600"/>
        </w:tabs>
        <w:spacing w:line="360" w:lineRule="auto"/>
        <w:ind w:firstLine="0"/>
        <w:rPr>
          <w:rFonts w:hint="eastAsia" w:ascii="宋体" w:hAnsi="宋体" w:eastAsia="宋体" w:cs="宋体"/>
          <w:bCs/>
          <w:color w:val="auto"/>
          <w:sz w:val="24"/>
          <w:szCs w:val="24"/>
          <w:highlight w:val="none"/>
        </w:rPr>
        <w:sectPr>
          <w:footerReference r:id="rId7" w:type="first"/>
          <w:headerReference r:id="rId3" w:type="default"/>
          <w:footerReference r:id="rId5" w:type="default"/>
          <w:headerReference r:id="rId4" w:type="even"/>
          <w:footerReference r:id="rId6" w:type="even"/>
          <w:pgSz w:w="11907" w:h="16840"/>
          <w:pgMar w:top="1440" w:right="1800" w:bottom="1440" w:left="1800" w:header="851" w:footer="992" w:gutter="0"/>
          <w:cols w:space="720" w:num="1"/>
          <w:docGrid w:linePitch="326" w:charSpace="0"/>
        </w:sectPr>
      </w:pPr>
      <w:bookmarkStart w:id="149" w:name="PO_默认文件内容_30"/>
      <w:bookmarkStart w:id="150" w:name="_Toc513713522"/>
      <w:bookmarkStart w:id="151" w:name="_Toc513714639"/>
      <w:bookmarkStart w:id="152" w:name="_Toc513763633"/>
    </w:p>
    <w:tbl>
      <w:tblPr>
        <w:tblStyle w:val="31"/>
        <w:tblW w:w="14112" w:type="dxa"/>
        <w:tblInd w:w="-118" w:type="dxa"/>
        <w:tblLayout w:type="fixed"/>
        <w:tblCellMar>
          <w:top w:w="0" w:type="dxa"/>
          <w:left w:w="108" w:type="dxa"/>
          <w:bottom w:w="0" w:type="dxa"/>
          <w:right w:w="108" w:type="dxa"/>
        </w:tblCellMar>
      </w:tblPr>
      <w:tblGrid>
        <w:gridCol w:w="425"/>
        <w:gridCol w:w="675"/>
        <w:gridCol w:w="1536"/>
        <w:gridCol w:w="1362"/>
        <w:gridCol w:w="438"/>
        <w:gridCol w:w="6690"/>
        <w:gridCol w:w="2986"/>
      </w:tblGrid>
      <w:tr>
        <w:tblPrEx>
          <w:tblCellMar>
            <w:top w:w="0" w:type="dxa"/>
            <w:left w:w="108" w:type="dxa"/>
            <w:bottom w:w="0" w:type="dxa"/>
            <w:right w:w="108" w:type="dxa"/>
          </w:tblCellMar>
        </w:tblPrEx>
        <w:trPr>
          <w:trHeight w:val="499" w:hRule="atLeast"/>
        </w:trPr>
        <w:tc>
          <w:tcPr>
            <w:tcW w:w="4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序号</w:t>
            </w:r>
          </w:p>
        </w:tc>
        <w:tc>
          <w:tcPr>
            <w:tcW w:w="675"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536"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1362"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438"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690"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986"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108" w:type="dxa"/>
            <w:bottom w:w="0" w:type="dxa"/>
            <w:right w:w="108" w:type="dxa"/>
          </w:tblCellMar>
        </w:tblPrEx>
        <w:trPr>
          <w:trHeight w:val="895"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5" w:type="dxa"/>
            <w:vMerge w:val="restart"/>
            <w:tcBorders>
              <w:top w:val="nil"/>
              <w:left w:val="nil"/>
              <w:right w:val="single" w:color="auto" w:sz="8" w:space="0"/>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通用指标</w:t>
            </w:r>
          </w:p>
        </w:tc>
        <w:tc>
          <w:tcPr>
            <w:tcW w:w="1536" w:type="dxa"/>
            <w:vMerge w:val="restart"/>
            <w:tcBorders>
              <w:top w:val="nil"/>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经营状况指标（30分）</w:t>
            </w: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年总行净资产总额</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年净资产总额数据，得分计算公式为=（参选银行数据-所有参选银行数据最小值）/（所有参选银行数据最大值-所有参选银行数据最小值）*5</w:t>
            </w:r>
          </w:p>
        </w:tc>
        <w:tc>
          <w:tcPr>
            <w:tcW w:w="2986" w:type="dxa"/>
            <w:vMerge w:val="restart"/>
            <w:tcBorders>
              <w:top w:val="nil"/>
              <w:left w:val="nil"/>
              <w:bottom w:val="single" w:color="auto" w:sz="8" w:space="0"/>
              <w:right w:val="single" w:color="auto" w:sz="8"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年12月末参选银行总行的年度报告</w:t>
            </w:r>
            <w:r>
              <w:rPr>
                <w:rFonts w:hint="eastAsia" w:ascii="宋体" w:hAnsi="宋体" w:eastAsia="宋体" w:cs="宋体"/>
                <w:color w:val="auto"/>
                <w:sz w:val="21"/>
                <w:szCs w:val="21"/>
                <w:highlight w:val="none"/>
                <w:lang w:val="en-US" w:eastAsia="zh-CN"/>
              </w:rPr>
              <w:t>提供数据</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765"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lang w:val="en-US" w:eastAsia="zh-CN"/>
              </w:rPr>
            </w:pPr>
          </w:p>
        </w:tc>
        <w:tc>
          <w:tcPr>
            <w:tcW w:w="1536" w:type="dxa"/>
            <w:vMerge w:val="continue"/>
            <w:tcBorders>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年总行资本充足率</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年资本充足率数据，得分计算公式为=（参选银行数据-所有参选银行数据最小值）/（所有参选银行数据最大值-所有参选银行数据最小值）*5</w:t>
            </w:r>
          </w:p>
        </w:tc>
        <w:tc>
          <w:tcPr>
            <w:tcW w:w="2986" w:type="dxa"/>
            <w:vMerge w:val="continue"/>
            <w:tcBorders>
              <w:top w:val="nil"/>
              <w:left w:val="nil"/>
              <w:bottom w:val="single" w:color="auto" w:sz="8" w:space="0"/>
              <w:right w:val="single" w:color="auto" w:sz="8"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9"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年总行不良贷款率</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逆向指标,参选银行总行20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年不良贷款率数据，得分计算公式为=（参选银行数据-所有参选银行数据最大值）/（所有参选银行数据最小值-所有参选银行数据最大值）*5</w:t>
            </w:r>
          </w:p>
        </w:tc>
        <w:tc>
          <w:tcPr>
            <w:tcW w:w="2986" w:type="dxa"/>
            <w:vMerge w:val="continue"/>
            <w:tcBorders>
              <w:top w:val="nil"/>
              <w:left w:val="nil"/>
              <w:bottom w:val="single" w:color="auto" w:sz="8" w:space="0"/>
              <w:right w:val="single" w:color="auto" w:sz="8"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99"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年总行拨备覆盖率</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年拨备覆盖率数据，得分计算公式为=（参选银行数据-所有参选银行数据最小值）/（所有参选银行数据最大值-所有参选银行数据最小值）*5</w:t>
            </w:r>
          </w:p>
        </w:tc>
        <w:tc>
          <w:tcPr>
            <w:tcW w:w="2986" w:type="dxa"/>
            <w:vMerge w:val="continue"/>
            <w:tcBorders>
              <w:top w:val="nil"/>
              <w:left w:val="nil"/>
              <w:bottom w:val="single" w:color="auto" w:sz="8" w:space="0"/>
              <w:right w:val="single" w:color="auto" w:sz="8"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年总行流动性覆盖率</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年流动性覆盖率数据，得分计算公式为=（参选银行数据-所有参选银行数据最小值）/（所有参选银行数据最大值-所有参选银行数据最小值）*5</w:t>
            </w:r>
          </w:p>
        </w:tc>
        <w:tc>
          <w:tcPr>
            <w:tcW w:w="2986" w:type="dxa"/>
            <w:vMerge w:val="continue"/>
            <w:tcBorders>
              <w:top w:val="nil"/>
              <w:left w:val="nil"/>
              <w:bottom w:val="single" w:color="auto" w:sz="8" w:space="0"/>
              <w:right w:val="single" w:color="auto" w:sz="8"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30"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年总行流动性比例</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顺向指标,参选银行总行20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年流动性比率数据，使用年报中本外币合并口径数据或人民币口径数据，得分计算公式为=（参选银行数据-所有参选银行数据最小值）/（所有参选银行数据最大值-所有参选银行数据最小值）*5</w:t>
            </w:r>
          </w:p>
        </w:tc>
        <w:tc>
          <w:tcPr>
            <w:tcW w:w="2986" w:type="dxa"/>
            <w:vMerge w:val="continue"/>
            <w:tcBorders>
              <w:top w:val="nil"/>
              <w:left w:val="nil"/>
              <w:bottom w:val="single" w:color="auto" w:sz="8" w:space="0"/>
              <w:right w:val="single" w:color="auto" w:sz="8" w:space="0"/>
            </w:tcBorders>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803" w:hRule="atLeast"/>
        </w:trPr>
        <w:tc>
          <w:tcPr>
            <w:tcW w:w="425" w:type="dxa"/>
            <w:tcBorders>
              <w:top w:val="nil"/>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5" w:type="dxa"/>
            <w:vMerge w:val="continue"/>
            <w:tcBorders>
              <w:left w:val="nil"/>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p>
        </w:tc>
        <w:tc>
          <w:tcPr>
            <w:tcW w:w="1536" w:type="dxa"/>
            <w:vMerge w:val="restart"/>
            <w:tcBorders>
              <w:top w:val="nil"/>
              <w:left w:val="nil"/>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贡献度指标（30分）</w:t>
            </w:r>
          </w:p>
        </w:tc>
        <w:tc>
          <w:tcPr>
            <w:tcW w:w="1362" w:type="dxa"/>
            <w:tcBorders>
              <w:top w:val="nil"/>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2021年全区贷款投放金额</w:t>
            </w:r>
          </w:p>
        </w:tc>
        <w:tc>
          <w:tcPr>
            <w:tcW w:w="438"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690"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2021年全年贷款投放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30亿元得8分；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20亿元得4分；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10亿元得2分；其余情况不得分</w:t>
            </w:r>
          </w:p>
        </w:tc>
        <w:tc>
          <w:tcPr>
            <w:tcW w:w="2986"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根据参选银行2021年实际贷款投放提供数据。</w:t>
            </w:r>
          </w:p>
        </w:tc>
      </w:tr>
      <w:tr>
        <w:tblPrEx>
          <w:tblCellMar>
            <w:top w:w="0" w:type="dxa"/>
            <w:left w:w="108" w:type="dxa"/>
            <w:bottom w:w="0" w:type="dxa"/>
            <w:right w:w="108" w:type="dxa"/>
          </w:tblCellMar>
        </w:tblPrEx>
        <w:trPr>
          <w:trHeight w:val="1114" w:hRule="atLeast"/>
        </w:trPr>
        <w:tc>
          <w:tcPr>
            <w:tcW w:w="425"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5" w:type="dxa"/>
            <w:vMerge w:val="continue"/>
            <w:tcBorders>
              <w:left w:val="nil"/>
              <w:bottom w:val="single" w:color="auto" w:sz="4" w:space="0"/>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p>
        </w:tc>
        <w:tc>
          <w:tcPr>
            <w:tcW w:w="1362" w:type="dxa"/>
            <w:tcBorders>
              <w:top w:val="single" w:color="auto" w:sz="4" w:space="0"/>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温江地区</w:t>
            </w:r>
            <w:r>
              <w:rPr>
                <w:rFonts w:hint="eastAsia" w:ascii="宋体" w:hAnsi="宋体" w:cs="宋体"/>
                <w:color w:val="auto"/>
                <w:sz w:val="21"/>
                <w:szCs w:val="21"/>
                <w:highlight w:val="none"/>
                <w:lang w:val="en-US" w:eastAsia="zh-CN"/>
              </w:rPr>
              <w:t>各金融</w:t>
            </w:r>
            <w:r>
              <w:rPr>
                <w:rFonts w:hint="eastAsia" w:ascii="宋体" w:hAnsi="宋体" w:eastAsia="宋体" w:cs="宋体"/>
                <w:color w:val="auto"/>
                <w:sz w:val="21"/>
                <w:szCs w:val="21"/>
                <w:highlight w:val="none"/>
              </w:rPr>
              <w:t>存贷比情况</w:t>
            </w:r>
          </w:p>
        </w:tc>
        <w:tc>
          <w:tcPr>
            <w:tcW w:w="438"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690" w:type="dxa"/>
            <w:tcBorders>
              <w:top w:val="single" w:color="auto" w:sz="4" w:space="0"/>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年末，参与银行在温江地区分支机构的存贷比，≥</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分，≥70%得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分，≥50%得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分，其他不得分。计算方式为贷款余额 ÷ 存款余额。</w:t>
            </w:r>
          </w:p>
        </w:tc>
        <w:tc>
          <w:tcPr>
            <w:tcW w:w="29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以中国人民银行温江支行20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年12月31日统计的“温江金融机构可比口径存贷款情况统计表”数据为准</w:t>
            </w:r>
          </w:p>
        </w:tc>
      </w:tr>
      <w:tr>
        <w:tblPrEx>
          <w:tblCellMar>
            <w:top w:w="0" w:type="dxa"/>
            <w:left w:w="108" w:type="dxa"/>
            <w:bottom w:w="0" w:type="dxa"/>
            <w:right w:w="108" w:type="dxa"/>
          </w:tblCellMar>
        </w:tblPrEx>
        <w:trPr>
          <w:trHeight w:val="1114" w:hRule="atLeast"/>
        </w:trPr>
        <w:tc>
          <w:tcPr>
            <w:tcW w:w="425"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75" w:type="dxa"/>
            <w:tcBorders>
              <w:left w:val="nil"/>
              <w:bottom w:val="single" w:color="auto" w:sz="4" w:space="0"/>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p>
        </w:tc>
        <w:tc>
          <w:tcPr>
            <w:tcW w:w="1362" w:type="dxa"/>
            <w:tcBorders>
              <w:top w:val="single" w:color="auto" w:sz="4" w:space="0"/>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温江地区各金融机构新增</w:t>
            </w:r>
            <w:r>
              <w:rPr>
                <w:rFonts w:hint="eastAsia" w:ascii="宋体" w:hAnsi="宋体" w:cs="宋体"/>
                <w:color w:val="auto"/>
                <w:sz w:val="21"/>
                <w:szCs w:val="21"/>
                <w:highlight w:val="none"/>
                <w:lang w:val="en-US" w:eastAsia="zh-CN"/>
              </w:rPr>
              <w:t>贷</w:t>
            </w:r>
            <w:r>
              <w:rPr>
                <w:rFonts w:hint="eastAsia" w:ascii="宋体" w:hAnsi="宋体" w:eastAsia="宋体" w:cs="宋体"/>
                <w:color w:val="auto"/>
                <w:sz w:val="21"/>
                <w:szCs w:val="21"/>
                <w:highlight w:val="none"/>
              </w:rPr>
              <w:t>款</w:t>
            </w:r>
            <w:r>
              <w:rPr>
                <w:rFonts w:hint="eastAsia" w:ascii="宋体" w:hAnsi="宋体" w:cs="宋体"/>
                <w:color w:val="auto"/>
                <w:sz w:val="21"/>
                <w:szCs w:val="21"/>
                <w:highlight w:val="none"/>
                <w:lang w:val="en-US" w:eastAsia="zh-CN"/>
              </w:rPr>
              <w:t>占比情况</w:t>
            </w:r>
          </w:p>
        </w:tc>
        <w:tc>
          <w:tcPr>
            <w:tcW w:w="438"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6690" w:type="dxa"/>
            <w:tcBorders>
              <w:top w:val="single" w:color="auto" w:sz="4" w:space="0"/>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年末，参与银行在温江地区分支机构的</w:t>
            </w:r>
            <w:r>
              <w:rPr>
                <w:rFonts w:hint="eastAsia" w:ascii="宋体" w:hAnsi="宋体" w:cs="宋体"/>
                <w:color w:val="auto"/>
                <w:sz w:val="21"/>
                <w:szCs w:val="21"/>
                <w:highlight w:val="none"/>
                <w:lang w:val="en-US" w:eastAsia="zh-CN"/>
              </w:rPr>
              <w:t>新增贷款占</w:t>
            </w:r>
            <w:r>
              <w:rPr>
                <w:rFonts w:hint="eastAsia" w:ascii="宋体" w:hAnsi="宋体" w:eastAsia="宋体" w:cs="宋体"/>
                <w:color w:val="auto"/>
                <w:sz w:val="21"/>
                <w:szCs w:val="21"/>
                <w:highlight w:val="none"/>
              </w:rPr>
              <w:t>比，≥</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分，其他不得分。</w:t>
            </w:r>
          </w:p>
        </w:tc>
        <w:tc>
          <w:tcPr>
            <w:tcW w:w="29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以中国人民银行温江支行20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年12月31日统计的“2021年12月31日温江区各金融机构新增存、贷款统计表”数据为准</w:t>
            </w:r>
          </w:p>
        </w:tc>
      </w:tr>
      <w:tr>
        <w:tblPrEx>
          <w:tblCellMar>
            <w:top w:w="0" w:type="dxa"/>
            <w:left w:w="108" w:type="dxa"/>
            <w:bottom w:w="0" w:type="dxa"/>
            <w:right w:w="108" w:type="dxa"/>
          </w:tblCellMar>
        </w:tblPrEx>
        <w:trPr>
          <w:trHeight w:val="1114" w:hRule="atLeast"/>
        </w:trPr>
        <w:tc>
          <w:tcPr>
            <w:tcW w:w="425"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75" w:type="dxa"/>
            <w:tcBorders>
              <w:left w:val="nil"/>
              <w:bottom w:val="single" w:color="auto" w:sz="4" w:space="0"/>
              <w:right w:val="single" w:color="auto" w:sz="8" w:space="0"/>
            </w:tcBorders>
            <w:vAlign w:val="center"/>
          </w:tcPr>
          <w:p>
            <w:pPr>
              <w:rPr>
                <w:rFonts w:hint="eastAsia" w:ascii="宋体" w:hAnsi="宋体" w:eastAsia="宋体" w:cs="宋体"/>
                <w:color w:val="auto"/>
                <w:sz w:val="21"/>
                <w:szCs w:val="21"/>
                <w:highlight w:val="none"/>
              </w:rPr>
            </w:pPr>
          </w:p>
        </w:tc>
        <w:tc>
          <w:tcPr>
            <w:tcW w:w="1536" w:type="dxa"/>
            <w:tcBorders>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p>
        </w:tc>
        <w:tc>
          <w:tcPr>
            <w:tcW w:w="1362" w:type="dxa"/>
            <w:tcBorders>
              <w:top w:val="single" w:color="auto" w:sz="4" w:space="0"/>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温江地区各金融机构新增存款</w:t>
            </w:r>
            <w:r>
              <w:rPr>
                <w:rFonts w:hint="eastAsia" w:ascii="宋体" w:hAnsi="宋体" w:cs="宋体"/>
                <w:color w:val="auto"/>
                <w:sz w:val="21"/>
                <w:szCs w:val="21"/>
                <w:highlight w:val="none"/>
                <w:lang w:val="en-US" w:eastAsia="zh-CN"/>
              </w:rPr>
              <w:t>占比情况</w:t>
            </w:r>
          </w:p>
        </w:tc>
        <w:tc>
          <w:tcPr>
            <w:tcW w:w="438"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690" w:type="dxa"/>
            <w:tcBorders>
              <w:top w:val="single" w:color="auto" w:sz="4" w:space="0"/>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年末，参与银行在温江地区分支机构的</w:t>
            </w:r>
            <w:r>
              <w:rPr>
                <w:rFonts w:hint="eastAsia" w:ascii="宋体" w:hAnsi="宋体" w:cs="宋体"/>
                <w:color w:val="auto"/>
                <w:sz w:val="21"/>
                <w:szCs w:val="21"/>
                <w:highlight w:val="none"/>
                <w:lang w:val="en-US" w:eastAsia="zh-CN"/>
              </w:rPr>
              <w:t>新增存款占</w:t>
            </w:r>
            <w:r>
              <w:rPr>
                <w:rFonts w:hint="eastAsia" w:ascii="宋体" w:hAnsi="宋体" w:eastAsia="宋体" w:cs="宋体"/>
                <w:color w:val="auto"/>
                <w:sz w:val="21"/>
                <w:szCs w:val="21"/>
                <w:highlight w:val="none"/>
              </w:rPr>
              <w:t>比，≥</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分，其他不得分。</w:t>
            </w:r>
          </w:p>
        </w:tc>
        <w:tc>
          <w:tcPr>
            <w:tcW w:w="29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以中国人民银行温江支行20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年12月31日统计的“2021年12月31日温江区各金融机构新增存、贷款统计表”数据为准</w:t>
            </w:r>
          </w:p>
        </w:tc>
      </w:tr>
      <w:tr>
        <w:tblPrEx>
          <w:tblCellMar>
            <w:top w:w="0" w:type="dxa"/>
            <w:left w:w="108" w:type="dxa"/>
            <w:bottom w:w="0" w:type="dxa"/>
            <w:right w:w="108" w:type="dxa"/>
          </w:tblCellMar>
        </w:tblPrEx>
        <w:trPr>
          <w:trHeight w:val="734" w:hRule="atLeast"/>
        </w:trPr>
        <w:tc>
          <w:tcPr>
            <w:tcW w:w="425" w:type="dxa"/>
            <w:tcBorders>
              <w:top w:val="nil"/>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675" w:type="dxa"/>
            <w:vMerge w:val="restart"/>
            <w:tcBorders>
              <w:top w:val="nil"/>
              <w:left w:val="nil"/>
              <w:right w:val="single" w:color="auto" w:sz="8" w:space="0"/>
            </w:tcBorders>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自选指标</w:t>
            </w:r>
            <w:r>
              <w:rPr>
                <w:rFonts w:hint="eastAsia" w:ascii="宋体" w:hAnsi="宋体" w:eastAsia="宋体" w:cs="宋体"/>
                <w:color w:val="auto"/>
                <w:sz w:val="21"/>
                <w:szCs w:val="21"/>
                <w:highlight w:val="none"/>
              </w:rPr>
              <w:t>40分</w:t>
            </w:r>
          </w:p>
        </w:tc>
        <w:tc>
          <w:tcPr>
            <w:tcW w:w="1536" w:type="dxa"/>
            <w:vMerge w:val="restart"/>
            <w:tcBorders>
              <w:top w:val="nil"/>
              <w:left w:val="nil"/>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服务水平指标30分</w:t>
            </w:r>
          </w:p>
        </w:tc>
        <w:tc>
          <w:tcPr>
            <w:tcW w:w="1362"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银行业机构综合评价情况</w:t>
            </w:r>
          </w:p>
        </w:tc>
        <w:tc>
          <w:tcPr>
            <w:tcW w:w="438"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90" w:type="dxa"/>
            <w:tcBorders>
              <w:top w:val="nil"/>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年至20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年人民银行成都分行或人民银行成都分行营业管理部、人民银行温江支行对银行业机构综合评价的情况，连续三年市（省）、区两级均被评为A等得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年至20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年中有在市（省）、区两级评比中被评为A等的，每有一次得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分；其余情况不得分。</w:t>
            </w:r>
          </w:p>
        </w:tc>
        <w:tc>
          <w:tcPr>
            <w:tcW w:w="2986"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参选银行须提供201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年至20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年，中国人民银行成都分行或人民银行成都分行营业管理部和中国人民银行温江支行关于银行业机构综合评价情况的通报文件，无法提供的不得分。</w:t>
            </w:r>
          </w:p>
        </w:tc>
      </w:tr>
      <w:tr>
        <w:tblPrEx>
          <w:tblCellMar>
            <w:top w:w="0" w:type="dxa"/>
            <w:left w:w="108" w:type="dxa"/>
            <w:bottom w:w="0" w:type="dxa"/>
            <w:right w:w="108" w:type="dxa"/>
          </w:tblCellMar>
        </w:tblPrEx>
        <w:trPr>
          <w:trHeight w:val="994" w:hRule="atLeast"/>
        </w:trPr>
        <w:tc>
          <w:tcPr>
            <w:tcW w:w="425"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75" w:type="dxa"/>
            <w:vMerge w:val="continue"/>
            <w:tcBorders>
              <w:left w:val="nil"/>
              <w:right w:val="single" w:color="auto" w:sz="8" w:space="0"/>
            </w:tcBorders>
            <w:vAlign w:val="center"/>
          </w:tcPr>
          <w:p>
            <w:pPr>
              <w:jc w:val="left"/>
              <w:rPr>
                <w:rFonts w:hint="eastAsia" w:ascii="宋体" w:hAnsi="宋体" w:eastAsia="宋体" w:cs="宋体"/>
                <w:color w:val="auto"/>
                <w:sz w:val="21"/>
                <w:szCs w:val="21"/>
                <w:highlight w:val="none"/>
              </w:rPr>
            </w:pPr>
          </w:p>
        </w:tc>
        <w:tc>
          <w:tcPr>
            <w:tcW w:w="1536" w:type="dxa"/>
            <w:vMerge w:val="continue"/>
            <w:tcBorders>
              <w:left w:val="nil"/>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p>
        </w:tc>
        <w:tc>
          <w:tcPr>
            <w:tcW w:w="1362" w:type="dxa"/>
            <w:tcBorders>
              <w:top w:val="single" w:color="auto" w:sz="4" w:space="0"/>
              <w:left w:val="nil"/>
              <w:bottom w:val="single" w:color="auto" w:sz="4" w:space="0"/>
              <w:right w:val="single" w:color="auto" w:sz="8" w:space="0"/>
            </w:tcBorders>
            <w:shd w:val="clear" w:color="auto" w:fill="auto"/>
            <w:vAlign w:val="center"/>
          </w:tcPr>
          <w:p>
            <w:pPr>
              <w:spacing w:line="400" w:lineRule="exact"/>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法人总部设立情况</w:t>
            </w:r>
          </w:p>
        </w:tc>
        <w:tc>
          <w:tcPr>
            <w:tcW w:w="438"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90" w:type="dxa"/>
            <w:tcBorders>
              <w:top w:val="single" w:color="auto" w:sz="4" w:space="0"/>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成都地区机构是否为法人机构总部，是则得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分，否则不得分。</w:t>
            </w:r>
          </w:p>
          <w:p>
            <w:pPr>
              <w:jc w:val="left"/>
              <w:rPr>
                <w:rFonts w:hint="eastAsia" w:ascii="宋体" w:hAnsi="宋体" w:eastAsia="宋体" w:cs="宋体"/>
                <w:color w:val="auto"/>
                <w:sz w:val="21"/>
                <w:szCs w:val="21"/>
                <w:highlight w:val="none"/>
              </w:rPr>
            </w:pPr>
          </w:p>
        </w:tc>
        <w:tc>
          <w:tcPr>
            <w:tcW w:w="29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94" w:hRule="atLeast"/>
        </w:trPr>
        <w:tc>
          <w:tcPr>
            <w:tcW w:w="425"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675" w:type="dxa"/>
            <w:vMerge w:val="continue"/>
            <w:tcBorders>
              <w:left w:val="nil"/>
              <w:right w:val="single" w:color="auto" w:sz="8" w:space="0"/>
            </w:tcBorders>
            <w:vAlign w:val="center"/>
          </w:tcPr>
          <w:p>
            <w:pPr>
              <w:rPr>
                <w:rFonts w:hint="eastAsia" w:ascii="宋体" w:hAnsi="宋体" w:eastAsia="宋体" w:cs="宋体"/>
                <w:color w:val="auto"/>
                <w:sz w:val="21"/>
                <w:szCs w:val="21"/>
                <w:highlight w:val="none"/>
              </w:rPr>
            </w:pPr>
          </w:p>
        </w:tc>
        <w:tc>
          <w:tcPr>
            <w:tcW w:w="1536" w:type="dxa"/>
            <w:vMerge w:val="continue"/>
            <w:tcBorders>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362"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产业功能区金 融服务牵头行情况</w:t>
            </w:r>
          </w:p>
        </w:tc>
        <w:tc>
          <w:tcPr>
            <w:tcW w:w="438"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90" w:type="dxa"/>
            <w:tcBorders>
              <w:top w:val="single" w:color="auto" w:sz="4" w:space="0"/>
              <w:left w:val="nil"/>
              <w:bottom w:val="single" w:color="auto" w:sz="4"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成都市级产业功能区金融服务牵头行分配情况，同一银行作为金融服务牵头行每服务一个产业功能区得2分，3个以上得8分。</w:t>
            </w:r>
          </w:p>
        </w:tc>
        <w:tc>
          <w:tcPr>
            <w:tcW w:w="29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参选银行须提供成都产业功能区金融服务牵头行相关制度文件</w:t>
            </w:r>
          </w:p>
        </w:tc>
      </w:tr>
      <w:tr>
        <w:tblPrEx>
          <w:tblCellMar>
            <w:top w:w="0" w:type="dxa"/>
            <w:left w:w="108" w:type="dxa"/>
            <w:bottom w:w="0" w:type="dxa"/>
            <w:right w:w="108" w:type="dxa"/>
          </w:tblCellMar>
        </w:tblPrEx>
        <w:trPr>
          <w:trHeight w:val="2609" w:hRule="atLeast"/>
        </w:trPr>
        <w:tc>
          <w:tcPr>
            <w:tcW w:w="425"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675" w:type="dxa"/>
            <w:vMerge w:val="continue"/>
            <w:tcBorders>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p>
        </w:tc>
        <w:tc>
          <w:tcPr>
            <w:tcW w:w="1536"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利率水平指标10分</w:t>
            </w:r>
          </w:p>
        </w:tc>
        <w:tc>
          <w:tcPr>
            <w:tcW w:w="1362"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人民银行现行存款基准利率上浮率报价</w:t>
            </w:r>
          </w:p>
        </w:tc>
        <w:tc>
          <w:tcPr>
            <w:tcW w:w="438"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90" w:type="dxa"/>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对参选银行按照承诺活期、定期利率上浮比例报价计算得分</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活期、定期报价均≥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0%，得基础分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分；活期、定期报价只有一项≥</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0%，得基础分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分；活期、定期报价均＜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0%，不得基础分。</w:t>
            </w:r>
          </w:p>
          <w:p>
            <w:pPr>
              <w:jc w:val="left"/>
              <w:rPr>
                <w:rFonts w:hint="eastAsia" w:ascii="宋体" w:hAnsi="宋体" w:eastAsia="宋体" w:cs="宋体"/>
                <w:color w:val="auto"/>
                <w:sz w:val="21"/>
                <w:szCs w:val="21"/>
                <w:highlight w:val="none"/>
              </w:rPr>
            </w:pPr>
          </w:p>
        </w:tc>
        <w:tc>
          <w:tcPr>
            <w:tcW w:w="2986" w:type="dxa"/>
            <w:tcBorders>
              <w:top w:val="nil"/>
              <w:left w:val="nil"/>
              <w:bottom w:val="single" w:color="auto" w:sz="8" w:space="0"/>
              <w:right w:val="single" w:color="auto" w:sz="8" w:space="0"/>
            </w:tcBorders>
            <w:shd w:val="clear" w:color="auto" w:fill="auto"/>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以文件承诺为准，参选的银行承诺的利率应当符合国家利率政策和四川省利率自律机制定价要求，最终资金存放利率严格按照中标银行承诺执行</w:t>
            </w: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注：1、顺项指标：某行某项指标得分＝某行某项指标权重×该项指标分值。其中，某行某指标权重＝{某行某项指标-MIN（所有参与银行该项指标}÷{MAX(所有参与银行该项指标)-MIN（所有参与银行该项指标）}                                    </w:t>
      </w:r>
    </w:p>
    <w:p>
      <w:pPr>
        <w:ind w:firstLine="240" w:firstLineChars="100"/>
        <w:rPr>
          <w:rFonts w:hint="eastAsia" w:ascii="宋体" w:hAnsi="宋体" w:eastAsia="宋体" w:cs="宋体"/>
          <w:color w:val="auto"/>
          <w:sz w:val="24"/>
          <w:szCs w:val="24"/>
          <w:highlight w:val="none"/>
        </w:rPr>
        <w:sectPr>
          <w:pgSz w:w="16840" w:h="11907" w:orient="landscape"/>
          <w:pgMar w:top="1797" w:right="1440" w:bottom="1797" w:left="1440" w:header="851" w:footer="992" w:gutter="0"/>
          <w:cols w:space="720" w:num="1"/>
          <w:docGrid w:linePitch="326" w:charSpace="0"/>
        </w:sectPr>
      </w:pPr>
      <w:r>
        <w:rPr>
          <w:rFonts w:hint="eastAsia" w:ascii="宋体" w:hAnsi="宋体" w:eastAsia="宋体" w:cs="宋体"/>
          <w:color w:val="auto"/>
          <w:sz w:val="24"/>
          <w:szCs w:val="24"/>
          <w:highlight w:val="none"/>
        </w:rPr>
        <w:t xml:space="preserve"> 2、逆项指标：某行某项指标得分＝某行某项指标权重×该项指标分值。其中，某行某指标权重＝{某行某项指标-MAX（所有参与银行该项指标}÷{MIN(所有参与银行该项指标)-MAX（所有参与银行该项指标）}</w:t>
      </w:r>
    </w:p>
    <w:bookmarkEnd w:id="102"/>
    <w:bookmarkEnd w:id="103"/>
    <w:bookmarkEnd w:id="104"/>
    <w:bookmarkEnd w:id="149"/>
    <w:bookmarkEnd w:id="150"/>
    <w:bookmarkEnd w:id="151"/>
    <w:bookmarkEnd w:id="152"/>
    <w:p>
      <w:pPr>
        <w:spacing w:line="520" w:lineRule="exact"/>
        <w:rPr>
          <w:rFonts w:hint="eastAsia" w:ascii="宋体" w:hAnsi="宋体" w:eastAsia="宋体" w:cs="宋体"/>
          <w:color w:val="auto"/>
          <w:sz w:val="24"/>
          <w:szCs w:val="24"/>
          <w:highlight w:val="none"/>
        </w:rPr>
      </w:pPr>
    </w:p>
    <w:sectPr>
      <w:pgSz w:w="11907" w:h="16840"/>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43</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4"/>
      </w:rPr>
    </w:pPr>
    <w:r>
      <w:fldChar w:fldCharType="begin"/>
    </w:r>
    <w:r>
      <w:rPr>
        <w:rStyle w:val="34"/>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AACBE"/>
    <w:multiLevelType w:val="singleLevel"/>
    <w:tmpl w:val="F19AACBE"/>
    <w:lvl w:ilvl="0" w:tentative="0">
      <w:start w:val="4"/>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74D21C2"/>
    <w:multiLevelType w:val="singleLevel"/>
    <w:tmpl w:val="474D21C2"/>
    <w:lvl w:ilvl="0" w:tentative="0">
      <w:start w:val="1"/>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4ZGU4NWUzYjVmYmMyMTg3MWJkYzExNjJlZjZiZDMifQ=="/>
  </w:docVars>
  <w:rsids>
    <w:rsidRoot w:val="004963CF"/>
    <w:rsid w:val="000002C9"/>
    <w:rsid w:val="0000250E"/>
    <w:rsid w:val="00003117"/>
    <w:rsid w:val="000031BC"/>
    <w:rsid w:val="00004953"/>
    <w:rsid w:val="00004B9C"/>
    <w:rsid w:val="000059A0"/>
    <w:rsid w:val="00007C75"/>
    <w:rsid w:val="000110DF"/>
    <w:rsid w:val="000118D6"/>
    <w:rsid w:val="00011D5F"/>
    <w:rsid w:val="000127A6"/>
    <w:rsid w:val="00016FA1"/>
    <w:rsid w:val="000171A6"/>
    <w:rsid w:val="0002132E"/>
    <w:rsid w:val="000236F5"/>
    <w:rsid w:val="0002443F"/>
    <w:rsid w:val="00026351"/>
    <w:rsid w:val="0003023D"/>
    <w:rsid w:val="00030949"/>
    <w:rsid w:val="00032C24"/>
    <w:rsid w:val="00034D42"/>
    <w:rsid w:val="000351C9"/>
    <w:rsid w:val="000352C0"/>
    <w:rsid w:val="00035E93"/>
    <w:rsid w:val="000364CC"/>
    <w:rsid w:val="00036A7C"/>
    <w:rsid w:val="00040256"/>
    <w:rsid w:val="000406A7"/>
    <w:rsid w:val="000411E7"/>
    <w:rsid w:val="00041951"/>
    <w:rsid w:val="00041DCB"/>
    <w:rsid w:val="00042144"/>
    <w:rsid w:val="00045D6D"/>
    <w:rsid w:val="00047C44"/>
    <w:rsid w:val="0005011B"/>
    <w:rsid w:val="000512D7"/>
    <w:rsid w:val="00051A4C"/>
    <w:rsid w:val="0005212B"/>
    <w:rsid w:val="00053452"/>
    <w:rsid w:val="00053593"/>
    <w:rsid w:val="00053661"/>
    <w:rsid w:val="00053851"/>
    <w:rsid w:val="000550FF"/>
    <w:rsid w:val="000566E3"/>
    <w:rsid w:val="00060B46"/>
    <w:rsid w:val="00061C01"/>
    <w:rsid w:val="00063229"/>
    <w:rsid w:val="00063B4B"/>
    <w:rsid w:val="00064584"/>
    <w:rsid w:val="0006515A"/>
    <w:rsid w:val="00066D55"/>
    <w:rsid w:val="000676FB"/>
    <w:rsid w:val="00067C09"/>
    <w:rsid w:val="00070EC8"/>
    <w:rsid w:val="0007112C"/>
    <w:rsid w:val="00071396"/>
    <w:rsid w:val="00071AAA"/>
    <w:rsid w:val="00071CCD"/>
    <w:rsid w:val="00072BFF"/>
    <w:rsid w:val="00074A53"/>
    <w:rsid w:val="00075ECB"/>
    <w:rsid w:val="00076F73"/>
    <w:rsid w:val="000771C9"/>
    <w:rsid w:val="0008144A"/>
    <w:rsid w:val="00081F9D"/>
    <w:rsid w:val="000820D4"/>
    <w:rsid w:val="00083177"/>
    <w:rsid w:val="000841FB"/>
    <w:rsid w:val="0008437C"/>
    <w:rsid w:val="000846FA"/>
    <w:rsid w:val="0008487A"/>
    <w:rsid w:val="00085618"/>
    <w:rsid w:val="00087706"/>
    <w:rsid w:val="00090062"/>
    <w:rsid w:val="000913D4"/>
    <w:rsid w:val="000944EF"/>
    <w:rsid w:val="00095C0F"/>
    <w:rsid w:val="00095C68"/>
    <w:rsid w:val="00095CD7"/>
    <w:rsid w:val="00095E96"/>
    <w:rsid w:val="00095EC3"/>
    <w:rsid w:val="000A259A"/>
    <w:rsid w:val="000A4AAF"/>
    <w:rsid w:val="000A5186"/>
    <w:rsid w:val="000A5FD2"/>
    <w:rsid w:val="000B1933"/>
    <w:rsid w:val="000B1F65"/>
    <w:rsid w:val="000B20DB"/>
    <w:rsid w:val="000B2CF1"/>
    <w:rsid w:val="000B37A6"/>
    <w:rsid w:val="000B39E4"/>
    <w:rsid w:val="000B3A76"/>
    <w:rsid w:val="000B3D19"/>
    <w:rsid w:val="000B6BF4"/>
    <w:rsid w:val="000B7D6B"/>
    <w:rsid w:val="000C21A3"/>
    <w:rsid w:val="000C4B3C"/>
    <w:rsid w:val="000C4C4B"/>
    <w:rsid w:val="000C5E25"/>
    <w:rsid w:val="000C647F"/>
    <w:rsid w:val="000C65F1"/>
    <w:rsid w:val="000C7A93"/>
    <w:rsid w:val="000D002A"/>
    <w:rsid w:val="000D1DEF"/>
    <w:rsid w:val="000D2085"/>
    <w:rsid w:val="000D2514"/>
    <w:rsid w:val="000D3A57"/>
    <w:rsid w:val="000D477D"/>
    <w:rsid w:val="000D535E"/>
    <w:rsid w:val="000D594C"/>
    <w:rsid w:val="000D6DCC"/>
    <w:rsid w:val="000E1CC8"/>
    <w:rsid w:val="000E2645"/>
    <w:rsid w:val="000E2A41"/>
    <w:rsid w:val="000E6DCF"/>
    <w:rsid w:val="000F0D7A"/>
    <w:rsid w:val="000F248C"/>
    <w:rsid w:val="000F559F"/>
    <w:rsid w:val="0010095E"/>
    <w:rsid w:val="001009C3"/>
    <w:rsid w:val="00100D4D"/>
    <w:rsid w:val="00101550"/>
    <w:rsid w:val="0010329B"/>
    <w:rsid w:val="00110D5C"/>
    <w:rsid w:val="0011193E"/>
    <w:rsid w:val="001127DE"/>
    <w:rsid w:val="00112838"/>
    <w:rsid w:val="00113E41"/>
    <w:rsid w:val="001144F3"/>
    <w:rsid w:val="00115E51"/>
    <w:rsid w:val="00121F3C"/>
    <w:rsid w:val="00123566"/>
    <w:rsid w:val="00123D38"/>
    <w:rsid w:val="00124E15"/>
    <w:rsid w:val="00126310"/>
    <w:rsid w:val="00130C85"/>
    <w:rsid w:val="001337B1"/>
    <w:rsid w:val="00133848"/>
    <w:rsid w:val="0013499E"/>
    <w:rsid w:val="001350D9"/>
    <w:rsid w:val="00135676"/>
    <w:rsid w:val="0013611C"/>
    <w:rsid w:val="0013639C"/>
    <w:rsid w:val="0013698C"/>
    <w:rsid w:val="00142FAF"/>
    <w:rsid w:val="00144A6A"/>
    <w:rsid w:val="001450B8"/>
    <w:rsid w:val="00146917"/>
    <w:rsid w:val="001470E5"/>
    <w:rsid w:val="00147187"/>
    <w:rsid w:val="00147EBD"/>
    <w:rsid w:val="00151B69"/>
    <w:rsid w:val="001529F8"/>
    <w:rsid w:val="00152A92"/>
    <w:rsid w:val="00153C61"/>
    <w:rsid w:val="0015441D"/>
    <w:rsid w:val="0015464F"/>
    <w:rsid w:val="001548F7"/>
    <w:rsid w:val="00154B00"/>
    <w:rsid w:val="0015576C"/>
    <w:rsid w:val="00156666"/>
    <w:rsid w:val="00161605"/>
    <w:rsid w:val="00161E0D"/>
    <w:rsid w:val="00164FA9"/>
    <w:rsid w:val="00165411"/>
    <w:rsid w:val="00166093"/>
    <w:rsid w:val="001665B7"/>
    <w:rsid w:val="00166DD2"/>
    <w:rsid w:val="00166DDB"/>
    <w:rsid w:val="00170D2D"/>
    <w:rsid w:val="001716F7"/>
    <w:rsid w:val="00171964"/>
    <w:rsid w:val="00176C6F"/>
    <w:rsid w:val="00177FE9"/>
    <w:rsid w:val="001801C4"/>
    <w:rsid w:val="001808BA"/>
    <w:rsid w:val="0018127B"/>
    <w:rsid w:val="00182BEF"/>
    <w:rsid w:val="00183816"/>
    <w:rsid w:val="001850D0"/>
    <w:rsid w:val="0018628A"/>
    <w:rsid w:val="00187901"/>
    <w:rsid w:val="00194D5C"/>
    <w:rsid w:val="001962FB"/>
    <w:rsid w:val="0019786B"/>
    <w:rsid w:val="001A1D94"/>
    <w:rsid w:val="001A2B96"/>
    <w:rsid w:val="001A4054"/>
    <w:rsid w:val="001A5F22"/>
    <w:rsid w:val="001A6119"/>
    <w:rsid w:val="001A6429"/>
    <w:rsid w:val="001A644E"/>
    <w:rsid w:val="001A7EA5"/>
    <w:rsid w:val="001B02DD"/>
    <w:rsid w:val="001B103A"/>
    <w:rsid w:val="001B1A4B"/>
    <w:rsid w:val="001B4C29"/>
    <w:rsid w:val="001B4C47"/>
    <w:rsid w:val="001B6CA5"/>
    <w:rsid w:val="001B7C35"/>
    <w:rsid w:val="001C2038"/>
    <w:rsid w:val="001C209A"/>
    <w:rsid w:val="001C3F96"/>
    <w:rsid w:val="001C4CE0"/>
    <w:rsid w:val="001C4E69"/>
    <w:rsid w:val="001C5EE6"/>
    <w:rsid w:val="001C6A5B"/>
    <w:rsid w:val="001C6B40"/>
    <w:rsid w:val="001C77DD"/>
    <w:rsid w:val="001D0B73"/>
    <w:rsid w:val="001D1B23"/>
    <w:rsid w:val="001D1EC9"/>
    <w:rsid w:val="001D26A4"/>
    <w:rsid w:val="001D2B2F"/>
    <w:rsid w:val="001D3BDD"/>
    <w:rsid w:val="001D41DD"/>
    <w:rsid w:val="001D4513"/>
    <w:rsid w:val="001D4802"/>
    <w:rsid w:val="001D570F"/>
    <w:rsid w:val="001E093E"/>
    <w:rsid w:val="001E0B6C"/>
    <w:rsid w:val="001E1F85"/>
    <w:rsid w:val="001E3951"/>
    <w:rsid w:val="001E40BB"/>
    <w:rsid w:val="001E6AE3"/>
    <w:rsid w:val="001E78A5"/>
    <w:rsid w:val="001F0435"/>
    <w:rsid w:val="001F11D9"/>
    <w:rsid w:val="001F2444"/>
    <w:rsid w:val="001F2A19"/>
    <w:rsid w:val="001F3C2F"/>
    <w:rsid w:val="001F4FEE"/>
    <w:rsid w:val="001F50A2"/>
    <w:rsid w:val="001F6296"/>
    <w:rsid w:val="001F6C0A"/>
    <w:rsid w:val="001F7D56"/>
    <w:rsid w:val="00200C8F"/>
    <w:rsid w:val="002019AA"/>
    <w:rsid w:val="00201DD4"/>
    <w:rsid w:val="0020506E"/>
    <w:rsid w:val="002077A4"/>
    <w:rsid w:val="002100C8"/>
    <w:rsid w:val="002103A1"/>
    <w:rsid w:val="00211967"/>
    <w:rsid w:val="00211C78"/>
    <w:rsid w:val="0021211C"/>
    <w:rsid w:val="00213372"/>
    <w:rsid w:val="00214229"/>
    <w:rsid w:val="002143FE"/>
    <w:rsid w:val="0021566E"/>
    <w:rsid w:val="00216765"/>
    <w:rsid w:val="00216E03"/>
    <w:rsid w:val="002170B4"/>
    <w:rsid w:val="00217CBD"/>
    <w:rsid w:val="00220EAB"/>
    <w:rsid w:val="00222B1C"/>
    <w:rsid w:val="00223DFD"/>
    <w:rsid w:val="00225F6E"/>
    <w:rsid w:val="0023076C"/>
    <w:rsid w:val="0023152B"/>
    <w:rsid w:val="00231731"/>
    <w:rsid w:val="00231B6B"/>
    <w:rsid w:val="0023320B"/>
    <w:rsid w:val="00233789"/>
    <w:rsid w:val="00233D36"/>
    <w:rsid w:val="00236F48"/>
    <w:rsid w:val="00240BA4"/>
    <w:rsid w:val="00243EFE"/>
    <w:rsid w:val="0024445C"/>
    <w:rsid w:val="0024452E"/>
    <w:rsid w:val="002455E4"/>
    <w:rsid w:val="00245643"/>
    <w:rsid w:val="00245FA0"/>
    <w:rsid w:val="00247F36"/>
    <w:rsid w:val="002501A9"/>
    <w:rsid w:val="0025035A"/>
    <w:rsid w:val="00252EF7"/>
    <w:rsid w:val="002530CA"/>
    <w:rsid w:val="002562CD"/>
    <w:rsid w:val="00257985"/>
    <w:rsid w:val="00260D77"/>
    <w:rsid w:val="00260D90"/>
    <w:rsid w:val="00261A6D"/>
    <w:rsid w:val="00263B1C"/>
    <w:rsid w:val="0026450F"/>
    <w:rsid w:val="002648CF"/>
    <w:rsid w:val="00266092"/>
    <w:rsid w:val="002664F6"/>
    <w:rsid w:val="00267D64"/>
    <w:rsid w:val="00270061"/>
    <w:rsid w:val="00272605"/>
    <w:rsid w:val="00274A3C"/>
    <w:rsid w:val="00276FD1"/>
    <w:rsid w:val="00277A9E"/>
    <w:rsid w:val="00280855"/>
    <w:rsid w:val="00280BEC"/>
    <w:rsid w:val="00280FC7"/>
    <w:rsid w:val="00290BA8"/>
    <w:rsid w:val="00290D7C"/>
    <w:rsid w:val="002919CE"/>
    <w:rsid w:val="00291C11"/>
    <w:rsid w:val="0029214F"/>
    <w:rsid w:val="0029466D"/>
    <w:rsid w:val="00295CDD"/>
    <w:rsid w:val="0029678C"/>
    <w:rsid w:val="00297E22"/>
    <w:rsid w:val="002A1291"/>
    <w:rsid w:val="002A145F"/>
    <w:rsid w:val="002A1740"/>
    <w:rsid w:val="002A1B08"/>
    <w:rsid w:val="002A57E7"/>
    <w:rsid w:val="002A5A5C"/>
    <w:rsid w:val="002A64C0"/>
    <w:rsid w:val="002B1E4C"/>
    <w:rsid w:val="002B31FA"/>
    <w:rsid w:val="002B320A"/>
    <w:rsid w:val="002B3BC5"/>
    <w:rsid w:val="002B4B84"/>
    <w:rsid w:val="002B5096"/>
    <w:rsid w:val="002B6D10"/>
    <w:rsid w:val="002C1A5B"/>
    <w:rsid w:val="002C5009"/>
    <w:rsid w:val="002C5627"/>
    <w:rsid w:val="002C593F"/>
    <w:rsid w:val="002C5B73"/>
    <w:rsid w:val="002D12F4"/>
    <w:rsid w:val="002D155D"/>
    <w:rsid w:val="002D2ED8"/>
    <w:rsid w:val="002D32F2"/>
    <w:rsid w:val="002D4A6A"/>
    <w:rsid w:val="002D70BA"/>
    <w:rsid w:val="002D7467"/>
    <w:rsid w:val="002E065F"/>
    <w:rsid w:val="002E0E72"/>
    <w:rsid w:val="002E2524"/>
    <w:rsid w:val="002E47CA"/>
    <w:rsid w:val="002E49AB"/>
    <w:rsid w:val="002E4CE5"/>
    <w:rsid w:val="002E64AF"/>
    <w:rsid w:val="002E70B4"/>
    <w:rsid w:val="002E73BA"/>
    <w:rsid w:val="002F07DB"/>
    <w:rsid w:val="002F3C32"/>
    <w:rsid w:val="002F4CF9"/>
    <w:rsid w:val="002F5D71"/>
    <w:rsid w:val="002F6518"/>
    <w:rsid w:val="002F66EE"/>
    <w:rsid w:val="002F6BDF"/>
    <w:rsid w:val="002F76A5"/>
    <w:rsid w:val="002F776E"/>
    <w:rsid w:val="00300B13"/>
    <w:rsid w:val="00301592"/>
    <w:rsid w:val="0030215B"/>
    <w:rsid w:val="0030217A"/>
    <w:rsid w:val="00302B6E"/>
    <w:rsid w:val="00304975"/>
    <w:rsid w:val="003054FB"/>
    <w:rsid w:val="0030712D"/>
    <w:rsid w:val="00310BAB"/>
    <w:rsid w:val="00311661"/>
    <w:rsid w:val="003122BB"/>
    <w:rsid w:val="0031394A"/>
    <w:rsid w:val="00316444"/>
    <w:rsid w:val="00321012"/>
    <w:rsid w:val="003212C9"/>
    <w:rsid w:val="0032313A"/>
    <w:rsid w:val="003231A2"/>
    <w:rsid w:val="00323E41"/>
    <w:rsid w:val="0032452B"/>
    <w:rsid w:val="0032475A"/>
    <w:rsid w:val="00326F53"/>
    <w:rsid w:val="00327986"/>
    <w:rsid w:val="00330850"/>
    <w:rsid w:val="00331A37"/>
    <w:rsid w:val="00332317"/>
    <w:rsid w:val="00332E99"/>
    <w:rsid w:val="00332F6D"/>
    <w:rsid w:val="0033362F"/>
    <w:rsid w:val="003377C4"/>
    <w:rsid w:val="00340E21"/>
    <w:rsid w:val="003449D6"/>
    <w:rsid w:val="003456B6"/>
    <w:rsid w:val="00346BEF"/>
    <w:rsid w:val="00346BF4"/>
    <w:rsid w:val="00346C9C"/>
    <w:rsid w:val="00350BCA"/>
    <w:rsid w:val="00350F12"/>
    <w:rsid w:val="00350FB1"/>
    <w:rsid w:val="00351696"/>
    <w:rsid w:val="00352EFF"/>
    <w:rsid w:val="00353D78"/>
    <w:rsid w:val="0035518A"/>
    <w:rsid w:val="00360E3A"/>
    <w:rsid w:val="00360E7D"/>
    <w:rsid w:val="00361791"/>
    <w:rsid w:val="00361980"/>
    <w:rsid w:val="00364B70"/>
    <w:rsid w:val="00364CD9"/>
    <w:rsid w:val="00365E33"/>
    <w:rsid w:val="003701A5"/>
    <w:rsid w:val="0037079C"/>
    <w:rsid w:val="00371DAC"/>
    <w:rsid w:val="0037309B"/>
    <w:rsid w:val="00374096"/>
    <w:rsid w:val="00374834"/>
    <w:rsid w:val="003761E2"/>
    <w:rsid w:val="00377EB9"/>
    <w:rsid w:val="00380DE6"/>
    <w:rsid w:val="003816EE"/>
    <w:rsid w:val="003833B7"/>
    <w:rsid w:val="003835C2"/>
    <w:rsid w:val="00383BD7"/>
    <w:rsid w:val="00385D41"/>
    <w:rsid w:val="00386155"/>
    <w:rsid w:val="003864E1"/>
    <w:rsid w:val="00390405"/>
    <w:rsid w:val="00390467"/>
    <w:rsid w:val="00390FA7"/>
    <w:rsid w:val="00392F1E"/>
    <w:rsid w:val="00395F20"/>
    <w:rsid w:val="003969F1"/>
    <w:rsid w:val="00396FFB"/>
    <w:rsid w:val="003A1279"/>
    <w:rsid w:val="003A1742"/>
    <w:rsid w:val="003A3D64"/>
    <w:rsid w:val="003A3E78"/>
    <w:rsid w:val="003B0445"/>
    <w:rsid w:val="003B4840"/>
    <w:rsid w:val="003B4A03"/>
    <w:rsid w:val="003B6186"/>
    <w:rsid w:val="003B78D0"/>
    <w:rsid w:val="003C11FC"/>
    <w:rsid w:val="003C1E82"/>
    <w:rsid w:val="003C241C"/>
    <w:rsid w:val="003C2641"/>
    <w:rsid w:val="003C2CE4"/>
    <w:rsid w:val="003C40AF"/>
    <w:rsid w:val="003C46EC"/>
    <w:rsid w:val="003D1E90"/>
    <w:rsid w:val="003D2B39"/>
    <w:rsid w:val="003D2F3D"/>
    <w:rsid w:val="003D38E6"/>
    <w:rsid w:val="003D39F0"/>
    <w:rsid w:val="003D5EBF"/>
    <w:rsid w:val="003D6632"/>
    <w:rsid w:val="003D67B4"/>
    <w:rsid w:val="003D696C"/>
    <w:rsid w:val="003E06C6"/>
    <w:rsid w:val="003E19AC"/>
    <w:rsid w:val="003E263E"/>
    <w:rsid w:val="003E533D"/>
    <w:rsid w:val="003E701C"/>
    <w:rsid w:val="003F13DE"/>
    <w:rsid w:val="003F1E46"/>
    <w:rsid w:val="003F2556"/>
    <w:rsid w:val="003F4F65"/>
    <w:rsid w:val="003F5743"/>
    <w:rsid w:val="003F6062"/>
    <w:rsid w:val="0040095C"/>
    <w:rsid w:val="0040120B"/>
    <w:rsid w:val="004022CC"/>
    <w:rsid w:val="00402F0C"/>
    <w:rsid w:val="00403DF5"/>
    <w:rsid w:val="00404839"/>
    <w:rsid w:val="00404861"/>
    <w:rsid w:val="004058E1"/>
    <w:rsid w:val="00405E60"/>
    <w:rsid w:val="004061B6"/>
    <w:rsid w:val="004101F6"/>
    <w:rsid w:val="004114FA"/>
    <w:rsid w:val="004132B0"/>
    <w:rsid w:val="00413F8C"/>
    <w:rsid w:val="004140A9"/>
    <w:rsid w:val="00414245"/>
    <w:rsid w:val="00414D74"/>
    <w:rsid w:val="00415B17"/>
    <w:rsid w:val="0041635D"/>
    <w:rsid w:val="0041716C"/>
    <w:rsid w:val="004214E2"/>
    <w:rsid w:val="00425755"/>
    <w:rsid w:val="00427449"/>
    <w:rsid w:val="00430C54"/>
    <w:rsid w:val="004310CA"/>
    <w:rsid w:val="00434105"/>
    <w:rsid w:val="004348E7"/>
    <w:rsid w:val="0043490A"/>
    <w:rsid w:val="004352B6"/>
    <w:rsid w:val="004353C9"/>
    <w:rsid w:val="00436287"/>
    <w:rsid w:val="00436AA2"/>
    <w:rsid w:val="00441313"/>
    <w:rsid w:val="00441C75"/>
    <w:rsid w:val="00442246"/>
    <w:rsid w:val="00442CE3"/>
    <w:rsid w:val="004431F1"/>
    <w:rsid w:val="00443454"/>
    <w:rsid w:val="00443A24"/>
    <w:rsid w:val="004448F4"/>
    <w:rsid w:val="00444F6B"/>
    <w:rsid w:val="004455CC"/>
    <w:rsid w:val="0044688D"/>
    <w:rsid w:val="00446D90"/>
    <w:rsid w:val="00447AAD"/>
    <w:rsid w:val="00447C68"/>
    <w:rsid w:val="00452806"/>
    <w:rsid w:val="00452E6B"/>
    <w:rsid w:val="004531C6"/>
    <w:rsid w:val="00453CEA"/>
    <w:rsid w:val="00454CC8"/>
    <w:rsid w:val="00455DD5"/>
    <w:rsid w:val="004565B1"/>
    <w:rsid w:val="004566D6"/>
    <w:rsid w:val="00456DBB"/>
    <w:rsid w:val="00456E89"/>
    <w:rsid w:val="00457BBD"/>
    <w:rsid w:val="00457C00"/>
    <w:rsid w:val="0046091B"/>
    <w:rsid w:val="00460AE2"/>
    <w:rsid w:val="00462705"/>
    <w:rsid w:val="00464432"/>
    <w:rsid w:val="004646C7"/>
    <w:rsid w:val="0046499B"/>
    <w:rsid w:val="00465562"/>
    <w:rsid w:val="00465E34"/>
    <w:rsid w:val="00465F58"/>
    <w:rsid w:val="00466542"/>
    <w:rsid w:val="00467523"/>
    <w:rsid w:val="00471C5D"/>
    <w:rsid w:val="00471E13"/>
    <w:rsid w:val="004733CB"/>
    <w:rsid w:val="004751F7"/>
    <w:rsid w:val="00475D0E"/>
    <w:rsid w:val="00475D79"/>
    <w:rsid w:val="0047634A"/>
    <w:rsid w:val="0047791E"/>
    <w:rsid w:val="00482714"/>
    <w:rsid w:val="00490CD5"/>
    <w:rsid w:val="00491BE7"/>
    <w:rsid w:val="00493269"/>
    <w:rsid w:val="00493DF7"/>
    <w:rsid w:val="004945EF"/>
    <w:rsid w:val="004963CF"/>
    <w:rsid w:val="004972E2"/>
    <w:rsid w:val="0049792F"/>
    <w:rsid w:val="00497EE4"/>
    <w:rsid w:val="004A10C6"/>
    <w:rsid w:val="004A1859"/>
    <w:rsid w:val="004A2620"/>
    <w:rsid w:val="004A2E1E"/>
    <w:rsid w:val="004A3648"/>
    <w:rsid w:val="004A5DBC"/>
    <w:rsid w:val="004A69B9"/>
    <w:rsid w:val="004B1F8C"/>
    <w:rsid w:val="004B2194"/>
    <w:rsid w:val="004B3B5F"/>
    <w:rsid w:val="004B477A"/>
    <w:rsid w:val="004B4AB7"/>
    <w:rsid w:val="004B4F3D"/>
    <w:rsid w:val="004B7B9F"/>
    <w:rsid w:val="004C0A64"/>
    <w:rsid w:val="004C1412"/>
    <w:rsid w:val="004C1662"/>
    <w:rsid w:val="004C6468"/>
    <w:rsid w:val="004C67A5"/>
    <w:rsid w:val="004D0C3B"/>
    <w:rsid w:val="004D1489"/>
    <w:rsid w:val="004D1873"/>
    <w:rsid w:val="004D1F9A"/>
    <w:rsid w:val="004D30E7"/>
    <w:rsid w:val="004D3E29"/>
    <w:rsid w:val="004D3F00"/>
    <w:rsid w:val="004D5669"/>
    <w:rsid w:val="004D62BE"/>
    <w:rsid w:val="004E04C2"/>
    <w:rsid w:val="004E0F77"/>
    <w:rsid w:val="004E245D"/>
    <w:rsid w:val="004E27F6"/>
    <w:rsid w:val="004E2A7A"/>
    <w:rsid w:val="004E3454"/>
    <w:rsid w:val="004E3B21"/>
    <w:rsid w:val="004E3BCF"/>
    <w:rsid w:val="004E3F87"/>
    <w:rsid w:val="004E40BC"/>
    <w:rsid w:val="004E4C9B"/>
    <w:rsid w:val="004E502D"/>
    <w:rsid w:val="004E722C"/>
    <w:rsid w:val="004E727B"/>
    <w:rsid w:val="004E7D7B"/>
    <w:rsid w:val="004F12AD"/>
    <w:rsid w:val="004F15E0"/>
    <w:rsid w:val="004F222A"/>
    <w:rsid w:val="004F26F5"/>
    <w:rsid w:val="004F4EAC"/>
    <w:rsid w:val="004F6386"/>
    <w:rsid w:val="004F64C9"/>
    <w:rsid w:val="004F72CB"/>
    <w:rsid w:val="004F739C"/>
    <w:rsid w:val="00500ADA"/>
    <w:rsid w:val="00501C23"/>
    <w:rsid w:val="0050200E"/>
    <w:rsid w:val="005036F2"/>
    <w:rsid w:val="00510540"/>
    <w:rsid w:val="005111EA"/>
    <w:rsid w:val="00512107"/>
    <w:rsid w:val="00513D05"/>
    <w:rsid w:val="00516826"/>
    <w:rsid w:val="00517FE6"/>
    <w:rsid w:val="005219C8"/>
    <w:rsid w:val="00521E2B"/>
    <w:rsid w:val="00521FAC"/>
    <w:rsid w:val="00523C35"/>
    <w:rsid w:val="005241C7"/>
    <w:rsid w:val="0052503C"/>
    <w:rsid w:val="00526EDD"/>
    <w:rsid w:val="005271E0"/>
    <w:rsid w:val="00527AAB"/>
    <w:rsid w:val="00530DDD"/>
    <w:rsid w:val="00532895"/>
    <w:rsid w:val="00535541"/>
    <w:rsid w:val="00535816"/>
    <w:rsid w:val="00535962"/>
    <w:rsid w:val="00536AB4"/>
    <w:rsid w:val="005401BC"/>
    <w:rsid w:val="00541115"/>
    <w:rsid w:val="005412F3"/>
    <w:rsid w:val="00541CC1"/>
    <w:rsid w:val="0054432F"/>
    <w:rsid w:val="0054447B"/>
    <w:rsid w:val="005453E4"/>
    <w:rsid w:val="005511E3"/>
    <w:rsid w:val="00551A36"/>
    <w:rsid w:val="005525A1"/>
    <w:rsid w:val="005579F5"/>
    <w:rsid w:val="005611D2"/>
    <w:rsid w:val="005636A4"/>
    <w:rsid w:val="005650D8"/>
    <w:rsid w:val="00565538"/>
    <w:rsid w:val="0056575C"/>
    <w:rsid w:val="00567392"/>
    <w:rsid w:val="00567DB2"/>
    <w:rsid w:val="0057166C"/>
    <w:rsid w:val="0057220B"/>
    <w:rsid w:val="00572935"/>
    <w:rsid w:val="00575383"/>
    <w:rsid w:val="005766C7"/>
    <w:rsid w:val="00577151"/>
    <w:rsid w:val="005803A7"/>
    <w:rsid w:val="005808FC"/>
    <w:rsid w:val="00581829"/>
    <w:rsid w:val="00581F04"/>
    <w:rsid w:val="00583FAD"/>
    <w:rsid w:val="00584427"/>
    <w:rsid w:val="005852E0"/>
    <w:rsid w:val="005867C6"/>
    <w:rsid w:val="0058682C"/>
    <w:rsid w:val="0058710B"/>
    <w:rsid w:val="00590A18"/>
    <w:rsid w:val="0059235F"/>
    <w:rsid w:val="005928C4"/>
    <w:rsid w:val="005930F5"/>
    <w:rsid w:val="00593780"/>
    <w:rsid w:val="00594160"/>
    <w:rsid w:val="00594CCB"/>
    <w:rsid w:val="00596438"/>
    <w:rsid w:val="00597B64"/>
    <w:rsid w:val="005A075E"/>
    <w:rsid w:val="005A0CB6"/>
    <w:rsid w:val="005A17C1"/>
    <w:rsid w:val="005A1E23"/>
    <w:rsid w:val="005A3059"/>
    <w:rsid w:val="005A48D0"/>
    <w:rsid w:val="005A61B7"/>
    <w:rsid w:val="005A7033"/>
    <w:rsid w:val="005A7934"/>
    <w:rsid w:val="005A7A62"/>
    <w:rsid w:val="005A7DD7"/>
    <w:rsid w:val="005B0BF1"/>
    <w:rsid w:val="005B1343"/>
    <w:rsid w:val="005B16CB"/>
    <w:rsid w:val="005B3278"/>
    <w:rsid w:val="005B55F7"/>
    <w:rsid w:val="005B6622"/>
    <w:rsid w:val="005B684C"/>
    <w:rsid w:val="005B75E3"/>
    <w:rsid w:val="005B7C0F"/>
    <w:rsid w:val="005C1E52"/>
    <w:rsid w:val="005C1ECD"/>
    <w:rsid w:val="005C2436"/>
    <w:rsid w:val="005C316E"/>
    <w:rsid w:val="005C3A81"/>
    <w:rsid w:val="005C3C27"/>
    <w:rsid w:val="005C3FA8"/>
    <w:rsid w:val="005C5CEF"/>
    <w:rsid w:val="005C65BD"/>
    <w:rsid w:val="005C6DC1"/>
    <w:rsid w:val="005C7214"/>
    <w:rsid w:val="005D0EC5"/>
    <w:rsid w:val="005D1FD7"/>
    <w:rsid w:val="005D3634"/>
    <w:rsid w:val="005D5133"/>
    <w:rsid w:val="005D5C7E"/>
    <w:rsid w:val="005D77AC"/>
    <w:rsid w:val="005E1006"/>
    <w:rsid w:val="005E20DE"/>
    <w:rsid w:val="005E4724"/>
    <w:rsid w:val="005E589A"/>
    <w:rsid w:val="005E63AB"/>
    <w:rsid w:val="005F036C"/>
    <w:rsid w:val="005F063C"/>
    <w:rsid w:val="005F3930"/>
    <w:rsid w:val="005F426F"/>
    <w:rsid w:val="005F42A6"/>
    <w:rsid w:val="005F479D"/>
    <w:rsid w:val="005F4D50"/>
    <w:rsid w:val="005F5049"/>
    <w:rsid w:val="005F58AF"/>
    <w:rsid w:val="005F6A93"/>
    <w:rsid w:val="005F6EC4"/>
    <w:rsid w:val="005F737D"/>
    <w:rsid w:val="00600CD6"/>
    <w:rsid w:val="00602F0A"/>
    <w:rsid w:val="00603121"/>
    <w:rsid w:val="00603FAD"/>
    <w:rsid w:val="00604181"/>
    <w:rsid w:val="00604CA1"/>
    <w:rsid w:val="00605B03"/>
    <w:rsid w:val="00606C7F"/>
    <w:rsid w:val="00611C56"/>
    <w:rsid w:val="00616427"/>
    <w:rsid w:val="0061651F"/>
    <w:rsid w:val="00616DD2"/>
    <w:rsid w:val="0062015A"/>
    <w:rsid w:val="00621391"/>
    <w:rsid w:val="0062142E"/>
    <w:rsid w:val="006239A9"/>
    <w:rsid w:val="00624AF7"/>
    <w:rsid w:val="0062705F"/>
    <w:rsid w:val="00630035"/>
    <w:rsid w:val="00631E18"/>
    <w:rsid w:val="00636330"/>
    <w:rsid w:val="00637268"/>
    <w:rsid w:val="006374A7"/>
    <w:rsid w:val="006376F0"/>
    <w:rsid w:val="00642AA6"/>
    <w:rsid w:val="00642B9C"/>
    <w:rsid w:val="00643021"/>
    <w:rsid w:val="00643627"/>
    <w:rsid w:val="0064423C"/>
    <w:rsid w:val="0064479C"/>
    <w:rsid w:val="00646122"/>
    <w:rsid w:val="00652622"/>
    <w:rsid w:val="00652992"/>
    <w:rsid w:val="00653FD7"/>
    <w:rsid w:val="0065512F"/>
    <w:rsid w:val="006564CE"/>
    <w:rsid w:val="00657808"/>
    <w:rsid w:val="00657BE0"/>
    <w:rsid w:val="006606D8"/>
    <w:rsid w:val="006614E2"/>
    <w:rsid w:val="00662C73"/>
    <w:rsid w:val="006638E0"/>
    <w:rsid w:val="00663D76"/>
    <w:rsid w:val="006655D6"/>
    <w:rsid w:val="006662C3"/>
    <w:rsid w:val="00667C0C"/>
    <w:rsid w:val="006751A1"/>
    <w:rsid w:val="006812EB"/>
    <w:rsid w:val="0068396D"/>
    <w:rsid w:val="00684FDE"/>
    <w:rsid w:val="00685307"/>
    <w:rsid w:val="00685DD6"/>
    <w:rsid w:val="006901DA"/>
    <w:rsid w:val="0069053B"/>
    <w:rsid w:val="00691A4F"/>
    <w:rsid w:val="00694B26"/>
    <w:rsid w:val="00695FFE"/>
    <w:rsid w:val="00696701"/>
    <w:rsid w:val="006975CC"/>
    <w:rsid w:val="00697F98"/>
    <w:rsid w:val="006A0523"/>
    <w:rsid w:val="006A0BB4"/>
    <w:rsid w:val="006A1C27"/>
    <w:rsid w:val="006A28B2"/>
    <w:rsid w:val="006A3FF2"/>
    <w:rsid w:val="006B043B"/>
    <w:rsid w:val="006B08AC"/>
    <w:rsid w:val="006B09CE"/>
    <w:rsid w:val="006B0B70"/>
    <w:rsid w:val="006B3B09"/>
    <w:rsid w:val="006B41BF"/>
    <w:rsid w:val="006B48EE"/>
    <w:rsid w:val="006B4EFA"/>
    <w:rsid w:val="006B7FEC"/>
    <w:rsid w:val="006C0154"/>
    <w:rsid w:val="006C04D3"/>
    <w:rsid w:val="006C1678"/>
    <w:rsid w:val="006C1DE7"/>
    <w:rsid w:val="006C2259"/>
    <w:rsid w:val="006C3776"/>
    <w:rsid w:val="006C3BA9"/>
    <w:rsid w:val="006C4540"/>
    <w:rsid w:val="006C4830"/>
    <w:rsid w:val="006C5A90"/>
    <w:rsid w:val="006C7995"/>
    <w:rsid w:val="006D2585"/>
    <w:rsid w:val="006D2934"/>
    <w:rsid w:val="006D4A6C"/>
    <w:rsid w:val="006D54AA"/>
    <w:rsid w:val="006D6367"/>
    <w:rsid w:val="006E0173"/>
    <w:rsid w:val="006E0B40"/>
    <w:rsid w:val="006E0F0A"/>
    <w:rsid w:val="006E2107"/>
    <w:rsid w:val="006E2865"/>
    <w:rsid w:val="006E40C4"/>
    <w:rsid w:val="006E4770"/>
    <w:rsid w:val="006E5BCA"/>
    <w:rsid w:val="006E5F61"/>
    <w:rsid w:val="006E5FE6"/>
    <w:rsid w:val="006E6D02"/>
    <w:rsid w:val="006E7E45"/>
    <w:rsid w:val="006F1C12"/>
    <w:rsid w:val="006F2BA2"/>
    <w:rsid w:val="006F4B5C"/>
    <w:rsid w:val="006F763E"/>
    <w:rsid w:val="00700713"/>
    <w:rsid w:val="007019CE"/>
    <w:rsid w:val="00701BF2"/>
    <w:rsid w:val="00702355"/>
    <w:rsid w:val="00704FFC"/>
    <w:rsid w:val="00705665"/>
    <w:rsid w:val="00705D65"/>
    <w:rsid w:val="00707029"/>
    <w:rsid w:val="007122A9"/>
    <w:rsid w:val="00713BAA"/>
    <w:rsid w:val="00717CCF"/>
    <w:rsid w:val="007213C7"/>
    <w:rsid w:val="00724316"/>
    <w:rsid w:val="007273A8"/>
    <w:rsid w:val="007311E0"/>
    <w:rsid w:val="00732FC3"/>
    <w:rsid w:val="00733071"/>
    <w:rsid w:val="00735216"/>
    <w:rsid w:val="007365E7"/>
    <w:rsid w:val="007367BD"/>
    <w:rsid w:val="007373EC"/>
    <w:rsid w:val="00740A73"/>
    <w:rsid w:val="00744571"/>
    <w:rsid w:val="00744F38"/>
    <w:rsid w:val="007467F8"/>
    <w:rsid w:val="00746CBE"/>
    <w:rsid w:val="00747346"/>
    <w:rsid w:val="00750808"/>
    <w:rsid w:val="00751CAE"/>
    <w:rsid w:val="0075237F"/>
    <w:rsid w:val="007535EE"/>
    <w:rsid w:val="007547FD"/>
    <w:rsid w:val="00755173"/>
    <w:rsid w:val="0076093D"/>
    <w:rsid w:val="00761ED1"/>
    <w:rsid w:val="007620E5"/>
    <w:rsid w:val="0076485F"/>
    <w:rsid w:val="0076529A"/>
    <w:rsid w:val="007654D7"/>
    <w:rsid w:val="007665D8"/>
    <w:rsid w:val="0076664B"/>
    <w:rsid w:val="007702A2"/>
    <w:rsid w:val="00770804"/>
    <w:rsid w:val="00770CA8"/>
    <w:rsid w:val="007711CC"/>
    <w:rsid w:val="00772668"/>
    <w:rsid w:val="0077327A"/>
    <w:rsid w:val="00773622"/>
    <w:rsid w:val="00773D77"/>
    <w:rsid w:val="00773EA2"/>
    <w:rsid w:val="00774F0B"/>
    <w:rsid w:val="0077787E"/>
    <w:rsid w:val="00777B9A"/>
    <w:rsid w:val="0078000D"/>
    <w:rsid w:val="007803E4"/>
    <w:rsid w:val="00780652"/>
    <w:rsid w:val="00781D24"/>
    <w:rsid w:val="007828AC"/>
    <w:rsid w:val="00782CF3"/>
    <w:rsid w:val="00786A5E"/>
    <w:rsid w:val="00792255"/>
    <w:rsid w:val="0079261B"/>
    <w:rsid w:val="00792C89"/>
    <w:rsid w:val="00792D0D"/>
    <w:rsid w:val="00793BD3"/>
    <w:rsid w:val="00794086"/>
    <w:rsid w:val="00794096"/>
    <w:rsid w:val="00794144"/>
    <w:rsid w:val="0079426E"/>
    <w:rsid w:val="00796A60"/>
    <w:rsid w:val="00797F00"/>
    <w:rsid w:val="00797F2B"/>
    <w:rsid w:val="007A045A"/>
    <w:rsid w:val="007A1FD3"/>
    <w:rsid w:val="007A28AD"/>
    <w:rsid w:val="007A454E"/>
    <w:rsid w:val="007A4D34"/>
    <w:rsid w:val="007A516F"/>
    <w:rsid w:val="007A5C9E"/>
    <w:rsid w:val="007B1F84"/>
    <w:rsid w:val="007B2D1C"/>
    <w:rsid w:val="007B5AEF"/>
    <w:rsid w:val="007B63C3"/>
    <w:rsid w:val="007B7778"/>
    <w:rsid w:val="007C1334"/>
    <w:rsid w:val="007C2079"/>
    <w:rsid w:val="007C3A43"/>
    <w:rsid w:val="007C4A84"/>
    <w:rsid w:val="007C5987"/>
    <w:rsid w:val="007C59CF"/>
    <w:rsid w:val="007C611A"/>
    <w:rsid w:val="007C6DB6"/>
    <w:rsid w:val="007C761E"/>
    <w:rsid w:val="007C7BED"/>
    <w:rsid w:val="007D0242"/>
    <w:rsid w:val="007D10E9"/>
    <w:rsid w:val="007D1BF6"/>
    <w:rsid w:val="007D2607"/>
    <w:rsid w:val="007D449D"/>
    <w:rsid w:val="007D61CE"/>
    <w:rsid w:val="007D64CD"/>
    <w:rsid w:val="007D6DFA"/>
    <w:rsid w:val="007E051E"/>
    <w:rsid w:val="007E23D2"/>
    <w:rsid w:val="007E34E3"/>
    <w:rsid w:val="007E46C6"/>
    <w:rsid w:val="007E57D3"/>
    <w:rsid w:val="007E5DBE"/>
    <w:rsid w:val="007E66C1"/>
    <w:rsid w:val="007E6D8F"/>
    <w:rsid w:val="007E7C4E"/>
    <w:rsid w:val="007F292C"/>
    <w:rsid w:val="007F2FB8"/>
    <w:rsid w:val="007F4950"/>
    <w:rsid w:val="007F49EC"/>
    <w:rsid w:val="007F62E4"/>
    <w:rsid w:val="008009C6"/>
    <w:rsid w:val="00802B1E"/>
    <w:rsid w:val="00810DA2"/>
    <w:rsid w:val="00811071"/>
    <w:rsid w:val="0081137A"/>
    <w:rsid w:val="00811EDA"/>
    <w:rsid w:val="008123F1"/>
    <w:rsid w:val="00813479"/>
    <w:rsid w:val="00813CF1"/>
    <w:rsid w:val="0081574D"/>
    <w:rsid w:val="008159CA"/>
    <w:rsid w:val="008166E2"/>
    <w:rsid w:val="0082236B"/>
    <w:rsid w:val="00822F46"/>
    <w:rsid w:val="008233D5"/>
    <w:rsid w:val="0082381D"/>
    <w:rsid w:val="00823C92"/>
    <w:rsid w:val="008242D0"/>
    <w:rsid w:val="00824C29"/>
    <w:rsid w:val="00825FAC"/>
    <w:rsid w:val="0082672A"/>
    <w:rsid w:val="0082699A"/>
    <w:rsid w:val="008274C9"/>
    <w:rsid w:val="00827645"/>
    <w:rsid w:val="0083070F"/>
    <w:rsid w:val="008307DA"/>
    <w:rsid w:val="00831BB4"/>
    <w:rsid w:val="00832A13"/>
    <w:rsid w:val="00834F81"/>
    <w:rsid w:val="008357E7"/>
    <w:rsid w:val="00835CBB"/>
    <w:rsid w:val="008364B3"/>
    <w:rsid w:val="00837803"/>
    <w:rsid w:val="00842320"/>
    <w:rsid w:val="00843E0D"/>
    <w:rsid w:val="00843E1E"/>
    <w:rsid w:val="008445C8"/>
    <w:rsid w:val="00844FBE"/>
    <w:rsid w:val="008450EA"/>
    <w:rsid w:val="0084647B"/>
    <w:rsid w:val="00851596"/>
    <w:rsid w:val="00852371"/>
    <w:rsid w:val="008545C8"/>
    <w:rsid w:val="00854A72"/>
    <w:rsid w:val="0085717F"/>
    <w:rsid w:val="008603BA"/>
    <w:rsid w:val="0086056E"/>
    <w:rsid w:val="00861152"/>
    <w:rsid w:val="00861CCA"/>
    <w:rsid w:val="00864D50"/>
    <w:rsid w:val="00865646"/>
    <w:rsid w:val="00870C42"/>
    <w:rsid w:val="00871609"/>
    <w:rsid w:val="00871851"/>
    <w:rsid w:val="00873429"/>
    <w:rsid w:val="0087511B"/>
    <w:rsid w:val="008755A3"/>
    <w:rsid w:val="0087568B"/>
    <w:rsid w:val="0087573E"/>
    <w:rsid w:val="00875A02"/>
    <w:rsid w:val="0087680D"/>
    <w:rsid w:val="00877610"/>
    <w:rsid w:val="00877DF8"/>
    <w:rsid w:val="00881D3C"/>
    <w:rsid w:val="00882FF4"/>
    <w:rsid w:val="00883383"/>
    <w:rsid w:val="00883451"/>
    <w:rsid w:val="00883A7C"/>
    <w:rsid w:val="00883F6D"/>
    <w:rsid w:val="008844D5"/>
    <w:rsid w:val="008846C9"/>
    <w:rsid w:val="00884B14"/>
    <w:rsid w:val="00885821"/>
    <w:rsid w:val="00885CE2"/>
    <w:rsid w:val="00886589"/>
    <w:rsid w:val="0088769B"/>
    <w:rsid w:val="00890882"/>
    <w:rsid w:val="008928B8"/>
    <w:rsid w:val="00893CC7"/>
    <w:rsid w:val="0089450F"/>
    <w:rsid w:val="008A0BFB"/>
    <w:rsid w:val="008A10A7"/>
    <w:rsid w:val="008A352D"/>
    <w:rsid w:val="008A3CCD"/>
    <w:rsid w:val="008A49B5"/>
    <w:rsid w:val="008A558C"/>
    <w:rsid w:val="008A6B39"/>
    <w:rsid w:val="008B142D"/>
    <w:rsid w:val="008B33AE"/>
    <w:rsid w:val="008B3FBC"/>
    <w:rsid w:val="008B49D7"/>
    <w:rsid w:val="008B53A7"/>
    <w:rsid w:val="008B5A7C"/>
    <w:rsid w:val="008B7C55"/>
    <w:rsid w:val="008C278B"/>
    <w:rsid w:val="008C2A95"/>
    <w:rsid w:val="008C31E9"/>
    <w:rsid w:val="008C3547"/>
    <w:rsid w:val="008C5430"/>
    <w:rsid w:val="008C6006"/>
    <w:rsid w:val="008C7A16"/>
    <w:rsid w:val="008C7AEF"/>
    <w:rsid w:val="008D04E1"/>
    <w:rsid w:val="008D33AB"/>
    <w:rsid w:val="008D56D0"/>
    <w:rsid w:val="008D71F7"/>
    <w:rsid w:val="008D7E3C"/>
    <w:rsid w:val="008E0456"/>
    <w:rsid w:val="008E1EA3"/>
    <w:rsid w:val="008E3669"/>
    <w:rsid w:val="008E4E63"/>
    <w:rsid w:val="008E7243"/>
    <w:rsid w:val="008E728D"/>
    <w:rsid w:val="008E74E4"/>
    <w:rsid w:val="008E7D1A"/>
    <w:rsid w:val="008F07AD"/>
    <w:rsid w:val="008F0E88"/>
    <w:rsid w:val="008F2E41"/>
    <w:rsid w:val="008F32DF"/>
    <w:rsid w:val="008F4C43"/>
    <w:rsid w:val="008F4F50"/>
    <w:rsid w:val="008F50DB"/>
    <w:rsid w:val="008F57C6"/>
    <w:rsid w:val="00901464"/>
    <w:rsid w:val="00901FBB"/>
    <w:rsid w:val="00902174"/>
    <w:rsid w:val="0090289A"/>
    <w:rsid w:val="00902C31"/>
    <w:rsid w:val="00906F56"/>
    <w:rsid w:val="009076AF"/>
    <w:rsid w:val="00910D6D"/>
    <w:rsid w:val="0091153F"/>
    <w:rsid w:val="00913CBF"/>
    <w:rsid w:val="00914ED0"/>
    <w:rsid w:val="00915532"/>
    <w:rsid w:val="0091774A"/>
    <w:rsid w:val="0092162C"/>
    <w:rsid w:val="00923767"/>
    <w:rsid w:val="00925FB5"/>
    <w:rsid w:val="00926DA0"/>
    <w:rsid w:val="00927D1C"/>
    <w:rsid w:val="00932BCB"/>
    <w:rsid w:val="0093753B"/>
    <w:rsid w:val="00937DC8"/>
    <w:rsid w:val="00940875"/>
    <w:rsid w:val="00941567"/>
    <w:rsid w:val="0094360E"/>
    <w:rsid w:val="00943A58"/>
    <w:rsid w:val="009451E2"/>
    <w:rsid w:val="009467E8"/>
    <w:rsid w:val="00946A45"/>
    <w:rsid w:val="009474C6"/>
    <w:rsid w:val="00952A41"/>
    <w:rsid w:val="009540E6"/>
    <w:rsid w:val="0095512E"/>
    <w:rsid w:val="009552BF"/>
    <w:rsid w:val="00956062"/>
    <w:rsid w:val="009632B3"/>
    <w:rsid w:val="00963766"/>
    <w:rsid w:val="0096458D"/>
    <w:rsid w:val="00965CCF"/>
    <w:rsid w:val="00966671"/>
    <w:rsid w:val="00966CFD"/>
    <w:rsid w:val="00967BD2"/>
    <w:rsid w:val="00970934"/>
    <w:rsid w:val="009709BF"/>
    <w:rsid w:val="009736CA"/>
    <w:rsid w:val="00974800"/>
    <w:rsid w:val="00974F38"/>
    <w:rsid w:val="009764AF"/>
    <w:rsid w:val="00977413"/>
    <w:rsid w:val="009776E7"/>
    <w:rsid w:val="009779E7"/>
    <w:rsid w:val="0098023B"/>
    <w:rsid w:val="009803D0"/>
    <w:rsid w:val="00980B94"/>
    <w:rsid w:val="00980CCF"/>
    <w:rsid w:val="00982F11"/>
    <w:rsid w:val="00983F84"/>
    <w:rsid w:val="009841E6"/>
    <w:rsid w:val="00984B03"/>
    <w:rsid w:val="0098548B"/>
    <w:rsid w:val="00985F4C"/>
    <w:rsid w:val="00987329"/>
    <w:rsid w:val="0099050D"/>
    <w:rsid w:val="009910DF"/>
    <w:rsid w:val="00993092"/>
    <w:rsid w:val="00993204"/>
    <w:rsid w:val="0099390D"/>
    <w:rsid w:val="00993C92"/>
    <w:rsid w:val="00996769"/>
    <w:rsid w:val="0099694D"/>
    <w:rsid w:val="009A036B"/>
    <w:rsid w:val="009A1303"/>
    <w:rsid w:val="009A218F"/>
    <w:rsid w:val="009A2E69"/>
    <w:rsid w:val="009A542F"/>
    <w:rsid w:val="009B26EB"/>
    <w:rsid w:val="009B2C4C"/>
    <w:rsid w:val="009B3341"/>
    <w:rsid w:val="009B353A"/>
    <w:rsid w:val="009B419C"/>
    <w:rsid w:val="009B4834"/>
    <w:rsid w:val="009B4EA9"/>
    <w:rsid w:val="009B667C"/>
    <w:rsid w:val="009B6B2D"/>
    <w:rsid w:val="009B70F3"/>
    <w:rsid w:val="009B73D0"/>
    <w:rsid w:val="009C123F"/>
    <w:rsid w:val="009C157E"/>
    <w:rsid w:val="009C1690"/>
    <w:rsid w:val="009C43C9"/>
    <w:rsid w:val="009C5C44"/>
    <w:rsid w:val="009C6698"/>
    <w:rsid w:val="009C6F77"/>
    <w:rsid w:val="009C76C2"/>
    <w:rsid w:val="009D1781"/>
    <w:rsid w:val="009D1D57"/>
    <w:rsid w:val="009D2812"/>
    <w:rsid w:val="009D41F7"/>
    <w:rsid w:val="009D5AA4"/>
    <w:rsid w:val="009D6747"/>
    <w:rsid w:val="009D7596"/>
    <w:rsid w:val="009D7DFB"/>
    <w:rsid w:val="009E0783"/>
    <w:rsid w:val="009E136E"/>
    <w:rsid w:val="009E2CCC"/>
    <w:rsid w:val="009E5CCC"/>
    <w:rsid w:val="009E5FE1"/>
    <w:rsid w:val="009E6111"/>
    <w:rsid w:val="009E73A5"/>
    <w:rsid w:val="009E7A37"/>
    <w:rsid w:val="009E7F6F"/>
    <w:rsid w:val="009E7FB3"/>
    <w:rsid w:val="009F051E"/>
    <w:rsid w:val="009F0F08"/>
    <w:rsid w:val="009F1264"/>
    <w:rsid w:val="009F18E5"/>
    <w:rsid w:val="009F4E00"/>
    <w:rsid w:val="009F5B8D"/>
    <w:rsid w:val="009F69A3"/>
    <w:rsid w:val="009F74C5"/>
    <w:rsid w:val="009F75FC"/>
    <w:rsid w:val="009F7CDC"/>
    <w:rsid w:val="00A02FA0"/>
    <w:rsid w:val="00A032D1"/>
    <w:rsid w:val="00A04209"/>
    <w:rsid w:val="00A04AEC"/>
    <w:rsid w:val="00A04DD6"/>
    <w:rsid w:val="00A07075"/>
    <w:rsid w:val="00A07925"/>
    <w:rsid w:val="00A07A85"/>
    <w:rsid w:val="00A10735"/>
    <w:rsid w:val="00A10DAB"/>
    <w:rsid w:val="00A12D08"/>
    <w:rsid w:val="00A12E10"/>
    <w:rsid w:val="00A13357"/>
    <w:rsid w:val="00A143C8"/>
    <w:rsid w:val="00A14886"/>
    <w:rsid w:val="00A15EDE"/>
    <w:rsid w:val="00A165C4"/>
    <w:rsid w:val="00A21207"/>
    <w:rsid w:val="00A22A87"/>
    <w:rsid w:val="00A22CF9"/>
    <w:rsid w:val="00A23670"/>
    <w:rsid w:val="00A26348"/>
    <w:rsid w:val="00A27D2E"/>
    <w:rsid w:val="00A30570"/>
    <w:rsid w:val="00A31CF0"/>
    <w:rsid w:val="00A32C21"/>
    <w:rsid w:val="00A33168"/>
    <w:rsid w:val="00A33419"/>
    <w:rsid w:val="00A348C9"/>
    <w:rsid w:val="00A34FD9"/>
    <w:rsid w:val="00A3706D"/>
    <w:rsid w:val="00A401F4"/>
    <w:rsid w:val="00A4236F"/>
    <w:rsid w:val="00A4620C"/>
    <w:rsid w:val="00A501CF"/>
    <w:rsid w:val="00A5027D"/>
    <w:rsid w:val="00A50694"/>
    <w:rsid w:val="00A50751"/>
    <w:rsid w:val="00A51754"/>
    <w:rsid w:val="00A52807"/>
    <w:rsid w:val="00A52F45"/>
    <w:rsid w:val="00A565C3"/>
    <w:rsid w:val="00A569F2"/>
    <w:rsid w:val="00A57094"/>
    <w:rsid w:val="00A574CF"/>
    <w:rsid w:val="00A5750B"/>
    <w:rsid w:val="00A60C0D"/>
    <w:rsid w:val="00A60CFD"/>
    <w:rsid w:val="00A61F9D"/>
    <w:rsid w:val="00A64209"/>
    <w:rsid w:val="00A64AB5"/>
    <w:rsid w:val="00A678B4"/>
    <w:rsid w:val="00A72E1C"/>
    <w:rsid w:val="00A75D55"/>
    <w:rsid w:val="00A7736A"/>
    <w:rsid w:val="00A816FA"/>
    <w:rsid w:val="00A81BA0"/>
    <w:rsid w:val="00A81D73"/>
    <w:rsid w:val="00A83C6D"/>
    <w:rsid w:val="00A849F2"/>
    <w:rsid w:val="00A857D2"/>
    <w:rsid w:val="00A872E2"/>
    <w:rsid w:val="00A90B08"/>
    <w:rsid w:val="00A90E81"/>
    <w:rsid w:val="00A919CC"/>
    <w:rsid w:val="00A948AD"/>
    <w:rsid w:val="00A962F5"/>
    <w:rsid w:val="00AA0DBB"/>
    <w:rsid w:val="00AA2C9B"/>
    <w:rsid w:val="00AA3990"/>
    <w:rsid w:val="00AA4035"/>
    <w:rsid w:val="00AA42A4"/>
    <w:rsid w:val="00AA6C03"/>
    <w:rsid w:val="00AA708C"/>
    <w:rsid w:val="00AA7168"/>
    <w:rsid w:val="00AA7D91"/>
    <w:rsid w:val="00AB0694"/>
    <w:rsid w:val="00AB3714"/>
    <w:rsid w:val="00AB58DA"/>
    <w:rsid w:val="00AB6347"/>
    <w:rsid w:val="00AB681E"/>
    <w:rsid w:val="00AC180A"/>
    <w:rsid w:val="00AC1AA9"/>
    <w:rsid w:val="00AC1F74"/>
    <w:rsid w:val="00AC227B"/>
    <w:rsid w:val="00AC29A1"/>
    <w:rsid w:val="00AC6BD9"/>
    <w:rsid w:val="00AC782E"/>
    <w:rsid w:val="00AD155A"/>
    <w:rsid w:val="00AD1874"/>
    <w:rsid w:val="00AD2214"/>
    <w:rsid w:val="00AD2CF0"/>
    <w:rsid w:val="00AD59AE"/>
    <w:rsid w:val="00AD68F7"/>
    <w:rsid w:val="00AD6F98"/>
    <w:rsid w:val="00AD7270"/>
    <w:rsid w:val="00AD7CB0"/>
    <w:rsid w:val="00AE0F24"/>
    <w:rsid w:val="00AE18AC"/>
    <w:rsid w:val="00AE1CD6"/>
    <w:rsid w:val="00AE33E1"/>
    <w:rsid w:val="00AE3FF4"/>
    <w:rsid w:val="00AE415B"/>
    <w:rsid w:val="00AE483E"/>
    <w:rsid w:val="00AE5431"/>
    <w:rsid w:val="00AE747C"/>
    <w:rsid w:val="00AF28AF"/>
    <w:rsid w:val="00AF36EE"/>
    <w:rsid w:val="00AF3CEC"/>
    <w:rsid w:val="00AF44D2"/>
    <w:rsid w:val="00AF488A"/>
    <w:rsid w:val="00AF54F0"/>
    <w:rsid w:val="00AF6C4E"/>
    <w:rsid w:val="00AF7BA8"/>
    <w:rsid w:val="00B012E0"/>
    <w:rsid w:val="00B01590"/>
    <w:rsid w:val="00B03815"/>
    <w:rsid w:val="00B04E24"/>
    <w:rsid w:val="00B0665F"/>
    <w:rsid w:val="00B06F86"/>
    <w:rsid w:val="00B07D19"/>
    <w:rsid w:val="00B1082B"/>
    <w:rsid w:val="00B11708"/>
    <w:rsid w:val="00B12650"/>
    <w:rsid w:val="00B12B48"/>
    <w:rsid w:val="00B13FFE"/>
    <w:rsid w:val="00B14229"/>
    <w:rsid w:val="00B149F3"/>
    <w:rsid w:val="00B14D1C"/>
    <w:rsid w:val="00B1722B"/>
    <w:rsid w:val="00B21219"/>
    <w:rsid w:val="00B21B14"/>
    <w:rsid w:val="00B21C19"/>
    <w:rsid w:val="00B22ED9"/>
    <w:rsid w:val="00B231E5"/>
    <w:rsid w:val="00B24E9D"/>
    <w:rsid w:val="00B2553F"/>
    <w:rsid w:val="00B2578C"/>
    <w:rsid w:val="00B2689D"/>
    <w:rsid w:val="00B26910"/>
    <w:rsid w:val="00B27BFC"/>
    <w:rsid w:val="00B27F2F"/>
    <w:rsid w:val="00B313A0"/>
    <w:rsid w:val="00B327FB"/>
    <w:rsid w:val="00B36B2F"/>
    <w:rsid w:val="00B36CA9"/>
    <w:rsid w:val="00B37157"/>
    <w:rsid w:val="00B37469"/>
    <w:rsid w:val="00B40587"/>
    <w:rsid w:val="00B418D5"/>
    <w:rsid w:val="00B42551"/>
    <w:rsid w:val="00B4278F"/>
    <w:rsid w:val="00B43BF5"/>
    <w:rsid w:val="00B4511C"/>
    <w:rsid w:val="00B458BC"/>
    <w:rsid w:val="00B46523"/>
    <w:rsid w:val="00B465BE"/>
    <w:rsid w:val="00B46846"/>
    <w:rsid w:val="00B46BA5"/>
    <w:rsid w:val="00B46DB0"/>
    <w:rsid w:val="00B50F1E"/>
    <w:rsid w:val="00B5207B"/>
    <w:rsid w:val="00B525E2"/>
    <w:rsid w:val="00B53070"/>
    <w:rsid w:val="00B556B1"/>
    <w:rsid w:val="00B600A1"/>
    <w:rsid w:val="00B620B3"/>
    <w:rsid w:val="00B6360A"/>
    <w:rsid w:val="00B645D7"/>
    <w:rsid w:val="00B64820"/>
    <w:rsid w:val="00B64910"/>
    <w:rsid w:val="00B654AF"/>
    <w:rsid w:val="00B655DC"/>
    <w:rsid w:val="00B6648B"/>
    <w:rsid w:val="00B673DF"/>
    <w:rsid w:val="00B67717"/>
    <w:rsid w:val="00B67D90"/>
    <w:rsid w:val="00B73B37"/>
    <w:rsid w:val="00B73BDF"/>
    <w:rsid w:val="00B7441E"/>
    <w:rsid w:val="00B75582"/>
    <w:rsid w:val="00B756DA"/>
    <w:rsid w:val="00B76F14"/>
    <w:rsid w:val="00B805A1"/>
    <w:rsid w:val="00B80F3F"/>
    <w:rsid w:val="00B81AB3"/>
    <w:rsid w:val="00B8388B"/>
    <w:rsid w:val="00B85E41"/>
    <w:rsid w:val="00B86024"/>
    <w:rsid w:val="00B8697A"/>
    <w:rsid w:val="00B8746C"/>
    <w:rsid w:val="00B91E16"/>
    <w:rsid w:val="00B93038"/>
    <w:rsid w:val="00B94C38"/>
    <w:rsid w:val="00B95F77"/>
    <w:rsid w:val="00B960D7"/>
    <w:rsid w:val="00B976DC"/>
    <w:rsid w:val="00B97913"/>
    <w:rsid w:val="00B97FC9"/>
    <w:rsid w:val="00BA00CB"/>
    <w:rsid w:val="00BA11CD"/>
    <w:rsid w:val="00BA206A"/>
    <w:rsid w:val="00BA4521"/>
    <w:rsid w:val="00BA571F"/>
    <w:rsid w:val="00BA5A3F"/>
    <w:rsid w:val="00BA623B"/>
    <w:rsid w:val="00BA6E87"/>
    <w:rsid w:val="00BA7D15"/>
    <w:rsid w:val="00BB040E"/>
    <w:rsid w:val="00BB054F"/>
    <w:rsid w:val="00BB3A75"/>
    <w:rsid w:val="00BB3A89"/>
    <w:rsid w:val="00BB405C"/>
    <w:rsid w:val="00BB4553"/>
    <w:rsid w:val="00BB482A"/>
    <w:rsid w:val="00BB489D"/>
    <w:rsid w:val="00BB7CDA"/>
    <w:rsid w:val="00BB7DD0"/>
    <w:rsid w:val="00BC0C28"/>
    <w:rsid w:val="00BC2A1A"/>
    <w:rsid w:val="00BC3802"/>
    <w:rsid w:val="00BC541C"/>
    <w:rsid w:val="00BC591B"/>
    <w:rsid w:val="00BE03E6"/>
    <w:rsid w:val="00BE26F7"/>
    <w:rsid w:val="00BE3E3C"/>
    <w:rsid w:val="00BF08D1"/>
    <w:rsid w:val="00BF0D57"/>
    <w:rsid w:val="00BF2688"/>
    <w:rsid w:val="00BF3EA3"/>
    <w:rsid w:val="00BF54B9"/>
    <w:rsid w:val="00BF5C33"/>
    <w:rsid w:val="00BF7662"/>
    <w:rsid w:val="00BF7963"/>
    <w:rsid w:val="00C03057"/>
    <w:rsid w:val="00C05B1B"/>
    <w:rsid w:val="00C06320"/>
    <w:rsid w:val="00C07537"/>
    <w:rsid w:val="00C07997"/>
    <w:rsid w:val="00C07ACE"/>
    <w:rsid w:val="00C07B33"/>
    <w:rsid w:val="00C07D11"/>
    <w:rsid w:val="00C10E38"/>
    <w:rsid w:val="00C10E6A"/>
    <w:rsid w:val="00C138CA"/>
    <w:rsid w:val="00C141D6"/>
    <w:rsid w:val="00C14305"/>
    <w:rsid w:val="00C156C3"/>
    <w:rsid w:val="00C1673C"/>
    <w:rsid w:val="00C16C57"/>
    <w:rsid w:val="00C1754E"/>
    <w:rsid w:val="00C17571"/>
    <w:rsid w:val="00C20E73"/>
    <w:rsid w:val="00C20FFA"/>
    <w:rsid w:val="00C218E0"/>
    <w:rsid w:val="00C23DEE"/>
    <w:rsid w:val="00C24477"/>
    <w:rsid w:val="00C25BFF"/>
    <w:rsid w:val="00C273E7"/>
    <w:rsid w:val="00C3087A"/>
    <w:rsid w:val="00C34289"/>
    <w:rsid w:val="00C35561"/>
    <w:rsid w:val="00C37252"/>
    <w:rsid w:val="00C44D5E"/>
    <w:rsid w:val="00C45E36"/>
    <w:rsid w:val="00C467D1"/>
    <w:rsid w:val="00C50B1F"/>
    <w:rsid w:val="00C50EB3"/>
    <w:rsid w:val="00C50F2D"/>
    <w:rsid w:val="00C51349"/>
    <w:rsid w:val="00C51F92"/>
    <w:rsid w:val="00C53743"/>
    <w:rsid w:val="00C53947"/>
    <w:rsid w:val="00C53C6F"/>
    <w:rsid w:val="00C54567"/>
    <w:rsid w:val="00C54A43"/>
    <w:rsid w:val="00C5523A"/>
    <w:rsid w:val="00C553DE"/>
    <w:rsid w:val="00C574B1"/>
    <w:rsid w:val="00C57EF2"/>
    <w:rsid w:val="00C603CE"/>
    <w:rsid w:val="00C628C1"/>
    <w:rsid w:val="00C6468C"/>
    <w:rsid w:val="00C64894"/>
    <w:rsid w:val="00C67859"/>
    <w:rsid w:val="00C70407"/>
    <w:rsid w:val="00C704F5"/>
    <w:rsid w:val="00C70897"/>
    <w:rsid w:val="00C716C7"/>
    <w:rsid w:val="00C71A4D"/>
    <w:rsid w:val="00C71D4E"/>
    <w:rsid w:val="00C73008"/>
    <w:rsid w:val="00C73275"/>
    <w:rsid w:val="00C7396E"/>
    <w:rsid w:val="00C73BF4"/>
    <w:rsid w:val="00C73E2E"/>
    <w:rsid w:val="00C7446A"/>
    <w:rsid w:val="00C74535"/>
    <w:rsid w:val="00C75DF8"/>
    <w:rsid w:val="00C76D8C"/>
    <w:rsid w:val="00C801A7"/>
    <w:rsid w:val="00C80B28"/>
    <w:rsid w:val="00C82538"/>
    <w:rsid w:val="00C83574"/>
    <w:rsid w:val="00C835FF"/>
    <w:rsid w:val="00C84778"/>
    <w:rsid w:val="00C85790"/>
    <w:rsid w:val="00C85B28"/>
    <w:rsid w:val="00C86598"/>
    <w:rsid w:val="00C8674E"/>
    <w:rsid w:val="00C873D8"/>
    <w:rsid w:val="00C91362"/>
    <w:rsid w:val="00C924C5"/>
    <w:rsid w:val="00C93002"/>
    <w:rsid w:val="00C93301"/>
    <w:rsid w:val="00C9574D"/>
    <w:rsid w:val="00C9771A"/>
    <w:rsid w:val="00C97ED0"/>
    <w:rsid w:val="00CA04DA"/>
    <w:rsid w:val="00CA0E82"/>
    <w:rsid w:val="00CA13F9"/>
    <w:rsid w:val="00CA1DE7"/>
    <w:rsid w:val="00CA3015"/>
    <w:rsid w:val="00CA3CC2"/>
    <w:rsid w:val="00CA45AA"/>
    <w:rsid w:val="00CA643C"/>
    <w:rsid w:val="00CA6548"/>
    <w:rsid w:val="00CB04EC"/>
    <w:rsid w:val="00CB0845"/>
    <w:rsid w:val="00CB0F16"/>
    <w:rsid w:val="00CB15BA"/>
    <w:rsid w:val="00CB20FC"/>
    <w:rsid w:val="00CB21AA"/>
    <w:rsid w:val="00CB3084"/>
    <w:rsid w:val="00CB3BBF"/>
    <w:rsid w:val="00CB5B0C"/>
    <w:rsid w:val="00CB5E80"/>
    <w:rsid w:val="00CB68D8"/>
    <w:rsid w:val="00CC0E9B"/>
    <w:rsid w:val="00CC1A27"/>
    <w:rsid w:val="00CC1C97"/>
    <w:rsid w:val="00CC24A8"/>
    <w:rsid w:val="00CC5F82"/>
    <w:rsid w:val="00CC6E15"/>
    <w:rsid w:val="00CD3D61"/>
    <w:rsid w:val="00CD413E"/>
    <w:rsid w:val="00CD4B59"/>
    <w:rsid w:val="00CD4DEC"/>
    <w:rsid w:val="00CD52BE"/>
    <w:rsid w:val="00CD5A62"/>
    <w:rsid w:val="00CD613A"/>
    <w:rsid w:val="00CD7023"/>
    <w:rsid w:val="00CD7040"/>
    <w:rsid w:val="00CE0AB2"/>
    <w:rsid w:val="00CE1BBA"/>
    <w:rsid w:val="00CE435D"/>
    <w:rsid w:val="00CE5866"/>
    <w:rsid w:val="00CE5B22"/>
    <w:rsid w:val="00CE5D70"/>
    <w:rsid w:val="00CE7E6E"/>
    <w:rsid w:val="00CF03DF"/>
    <w:rsid w:val="00CF0A8F"/>
    <w:rsid w:val="00CF1731"/>
    <w:rsid w:val="00CF2099"/>
    <w:rsid w:val="00CF2EED"/>
    <w:rsid w:val="00CF32D0"/>
    <w:rsid w:val="00CF3882"/>
    <w:rsid w:val="00CF44A5"/>
    <w:rsid w:val="00CF4B35"/>
    <w:rsid w:val="00CF5188"/>
    <w:rsid w:val="00CF61E2"/>
    <w:rsid w:val="00CF6E89"/>
    <w:rsid w:val="00D0202F"/>
    <w:rsid w:val="00D02163"/>
    <w:rsid w:val="00D03282"/>
    <w:rsid w:val="00D04083"/>
    <w:rsid w:val="00D05198"/>
    <w:rsid w:val="00D05E4B"/>
    <w:rsid w:val="00D069F3"/>
    <w:rsid w:val="00D07003"/>
    <w:rsid w:val="00D0769C"/>
    <w:rsid w:val="00D078F9"/>
    <w:rsid w:val="00D10E6F"/>
    <w:rsid w:val="00D11BE0"/>
    <w:rsid w:val="00D1358A"/>
    <w:rsid w:val="00D149ED"/>
    <w:rsid w:val="00D172B2"/>
    <w:rsid w:val="00D2081D"/>
    <w:rsid w:val="00D20BC5"/>
    <w:rsid w:val="00D23334"/>
    <w:rsid w:val="00D23343"/>
    <w:rsid w:val="00D2377D"/>
    <w:rsid w:val="00D23DA9"/>
    <w:rsid w:val="00D23FEA"/>
    <w:rsid w:val="00D24A1B"/>
    <w:rsid w:val="00D24B29"/>
    <w:rsid w:val="00D26021"/>
    <w:rsid w:val="00D26458"/>
    <w:rsid w:val="00D26901"/>
    <w:rsid w:val="00D26D71"/>
    <w:rsid w:val="00D26F6C"/>
    <w:rsid w:val="00D272DF"/>
    <w:rsid w:val="00D3011E"/>
    <w:rsid w:val="00D30F78"/>
    <w:rsid w:val="00D321A0"/>
    <w:rsid w:val="00D337A8"/>
    <w:rsid w:val="00D36DDF"/>
    <w:rsid w:val="00D40B6A"/>
    <w:rsid w:val="00D416D6"/>
    <w:rsid w:val="00D41E6C"/>
    <w:rsid w:val="00D4694A"/>
    <w:rsid w:val="00D46BE6"/>
    <w:rsid w:val="00D47523"/>
    <w:rsid w:val="00D51BF2"/>
    <w:rsid w:val="00D52443"/>
    <w:rsid w:val="00D52A5B"/>
    <w:rsid w:val="00D52B64"/>
    <w:rsid w:val="00D551D0"/>
    <w:rsid w:val="00D554F6"/>
    <w:rsid w:val="00D55936"/>
    <w:rsid w:val="00D56921"/>
    <w:rsid w:val="00D64175"/>
    <w:rsid w:val="00D64863"/>
    <w:rsid w:val="00D654A3"/>
    <w:rsid w:val="00D6617F"/>
    <w:rsid w:val="00D66F63"/>
    <w:rsid w:val="00D67147"/>
    <w:rsid w:val="00D70C03"/>
    <w:rsid w:val="00D713BB"/>
    <w:rsid w:val="00D732D1"/>
    <w:rsid w:val="00D735F8"/>
    <w:rsid w:val="00D73A0B"/>
    <w:rsid w:val="00D7562D"/>
    <w:rsid w:val="00D75655"/>
    <w:rsid w:val="00D75EA5"/>
    <w:rsid w:val="00D7606C"/>
    <w:rsid w:val="00D7612D"/>
    <w:rsid w:val="00D769E8"/>
    <w:rsid w:val="00D775BE"/>
    <w:rsid w:val="00D80507"/>
    <w:rsid w:val="00D816BE"/>
    <w:rsid w:val="00D828DB"/>
    <w:rsid w:val="00D82A29"/>
    <w:rsid w:val="00D8312D"/>
    <w:rsid w:val="00D831C1"/>
    <w:rsid w:val="00D844B9"/>
    <w:rsid w:val="00D84942"/>
    <w:rsid w:val="00D8575F"/>
    <w:rsid w:val="00D857A8"/>
    <w:rsid w:val="00D85BED"/>
    <w:rsid w:val="00D912B2"/>
    <w:rsid w:val="00D921D3"/>
    <w:rsid w:val="00D9288A"/>
    <w:rsid w:val="00D92B08"/>
    <w:rsid w:val="00D936DB"/>
    <w:rsid w:val="00D93E99"/>
    <w:rsid w:val="00D945C3"/>
    <w:rsid w:val="00D9684E"/>
    <w:rsid w:val="00D97873"/>
    <w:rsid w:val="00D97F97"/>
    <w:rsid w:val="00DA533F"/>
    <w:rsid w:val="00DA55F8"/>
    <w:rsid w:val="00DB0072"/>
    <w:rsid w:val="00DB10FD"/>
    <w:rsid w:val="00DB1A28"/>
    <w:rsid w:val="00DB29CF"/>
    <w:rsid w:val="00DB391D"/>
    <w:rsid w:val="00DB6196"/>
    <w:rsid w:val="00DB6C8F"/>
    <w:rsid w:val="00DC0A28"/>
    <w:rsid w:val="00DC14BF"/>
    <w:rsid w:val="00DC216D"/>
    <w:rsid w:val="00DC2348"/>
    <w:rsid w:val="00DC253F"/>
    <w:rsid w:val="00DC2927"/>
    <w:rsid w:val="00DC32B4"/>
    <w:rsid w:val="00DC4816"/>
    <w:rsid w:val="00DC4CD5"/>
    <w:rsid w:val="00DC55A3"/>
    <w:rsid w:val="00DC6C06"/>
    <w:rsid w:val="00DD1236"/>
    <w:rsid w:val="00DD1C38"/>
    <w:rsid w:val="00DD30BD"/>
    <w:rsid w:val="00DD3F22"/>
    <w:rsid w:val="00DD6CAD"/>
    <w:rsid w:val="00DE02AC"/>
    <w:rsid w:val="00DE1FAC"/>
    <w:rsid w:val="00DE2E5E"/>
    <w:rsid w:val="00DE2EBB"/>
    <w:rsid w:val="00DE469E"/>
    <w:rsid w:val="00DE537F"/>
    <w:rsid w:val="00DE624E"/>
    <w:rsid w:val="00DF0D6F"/>
    <w:rsid w:val="00DF235E"/>
    <w:rsid w:val="00DF30A4"/>
    <w:rsid w:val="00DF39A7"/>
    <w:rsid w:val="00DF4C5B"/>
    <w:rsid w:val="00DF506E"/>
    <w:rsid w:val="00DF73ED"/>
    <w:rsid w:val="00E00F1D"/>
    <w:rsid w:val="00E011D4"/>
    <w:rsid w:val="00E03365"/>
    <w:rsid w:val="00E04250"/>
    <w:rsid w:val="00E04945"/>
    <w:rsid w:val="00E0600F"/>
    <w:rsid w:val="00E06AF3"/>
    <w:rsid w:val="00E11F10"/>
    <w:rsid w:val="00E135C0"/>
    <w:rsid w:val="00E161F4"/>
    <w:rsid w:val="00E17C8F"/>
    <w:rsid w:val="00E202E8"/>
    <w:rsid w:val="00E2215A"/>
    <w:rsid w:val="00E22CEC"/>
    <w:rsid w:val="00E254BE"/>
    <w:rsid w:val="00E26644"/>
    <w:rsid w:val="00E27FF7"/>
    <w:rsid w:val="00E30E04"/>
    <w:rsid w:val="00E3167C"/>
    <w:rsid w:val="00E32A70"/>
    <w:rsid w:val="00E3328F"/>
    <w:rsid w:val="00E33B6A"/>
    <w:rsid w:val="00E34920"/>
    <w:rsid w:val="00E34BB2"/>
    <w:rsid w:val="00E34BE5"/>
    <w:rsid w:val="00E350B3"/>
    <w:rsid w:val="00E355A6"/>
    <w:rsid w:val="00E40CC4"/>
    <w:rsid w:val="00E41197"/>
    <w:rsid w:val="00E41337"/>
    <w:rsid w:val="00E424D5"/>
    <w:rsid w:val="00E42638"/>
    <w:rsid w:val="00E42C54"/>
    <w:rsid w:val="00E44B0D"/>
    <w:rsid w:val="00E46866"/>
    <w:rsid w:val="00E5000D"/>
    <w:rsid w:val="00E50AF8"/>
    <w:rsid w:val="00E51901"/>
    <w:rsid w:val="00E51B76"/>
    <w:rsid w:val="00E51F95"/>
    <w:rsid w:val="00E5404E"/>
    <w:rsid w:val="00E57056"/>
    <w:rsid w:val="00E57D1C"/>
    <w:rsid w:val="00E604F4"/>
    <w:rsid w:val="00E62898"/>
    <w:rsid w:val="00E62B1F"/>
    <w:rsid w:val="00E6338D"/>
    <w:rsid w:val="00E64BC1"/>
    <w:rsid w:val="00E64DD6"/>
    <w:rsid w:val="00E64F9B"/>
    <w:rsid w:val="00E65BD5"/>
    <w:rsid w:val="00E65D92"/>
    <w:rsid w:val="00E669D3"/>
    <w:rsid w:val="00E6711C"/>
    <w:rsid w:val="00E67E02"/>
    <w:rsid w:val="00E71ACA"/>
    <w:rsid w:val="00E76284"/>
    <w:rsid w:val="00E7689C"/>
    <w:rsid w:val="00E77D54"/>
    <w:rsid w:val="00E8054D"/>
    <w:rsid w:val="00E80C86"/>
    <w:rsid w:val="00E8228E"/>
    <w:rsid w:val="00E82D19"/>
    <w:rsid w:val="00E87F8A"/>
    <w:rsid w:val="00E905CD"/>
    <w:rsid w:val="00E912AE"/>
    <w:rsid w:val="00E92E8E"/>
    <w:rsid w:val="00E92EFA"/>
    <w:rsid w:val="00E93D06"/>
    <w:rsid w:val="00E9465F"/>
    <w:rsid w:val="00E946B8"/>
    <w:rsid w:val="00E964CE"/>
    <w:rsid w:val="00E977EE"/>
    <w:rsid w:val="00EA172A"/>
    <w:rsid w:val="00EA1BA3"/>
    <w:rsid w:val="00EA6B0E"/>
    <w:rsid w:val="00EB15EA"/>
    <w:rsid w:val="00EB18A8"/>
    <w:rsid w:val="00EB1D81"/>
    <w:rsid w:val="00EB274C"/>
    <w:rsid w:val="00EB29E4"/>
    <w:rsid w:val="00EB363F"/>
    <w:rsid w:val="00EB3A0C"/>
    <w:rsid w:val="00EB4C99"/>
    <w:rsid w:val="00EB614A"/>
    <w:rsid w:val="00EB62BF"/>
    <w:rsid w:val="00EC011D"/>
    <w:rsid w:val="00EC5578"/>
    <w:rsid w:val="00EC5BB2"/>
    <w:rsid w:val="00EC6EF7"/>
    <w:rsid w:val="00EC7722"/>
    <w:rsid w:val="00ED178D"/>
    <w:rsid w:val="00ED1B3A"/>
    <w:rsid w:val="00ED2E72"/>
    <w:rsid w:val="00ED41F6"/>
    <w:rsid w:val="00ED52E4"/>
    <w:rsid w:val="00ED62F2"/>
    <w:rsid w:val="00ED7102"/>
    <w:rsid w:val="00ED7B71"/>
    <w:rsid w:val="00EE06D7"/>
    <w:rsid w:val="00EE0B0C"/>
    <w:rsid w:val="00EE278A"/>
    <w:rsid w:val="00EE3F6B"/>
    <w:rsid w:val="00EE4262"/>
    <w:rsid w:val="00EE4C40"/>
    <w:rsid w:val="00EE5AE8"/>
    <w:rsid w:val="00EE5E27"/>
    <w:rsid w:val="00EF3703"/>
    <w:rsid w:val="00EF4ACE"/>
    <w:rsid w:val="00EF53F5"/>
    <w:rsid w:val="00EF752B"/>
    <w:rsid w:val="00EF766E"/>
    <w:rsid w:val="00F01639"/>
    <w:rsid w:val="00F01AC2"/>
    <w:rsid w:val="00F02737"/>
    <w:rsid w:val="00F069AC"/>
    <w:rsid w:val="00F07258"/>
    <w:rsid w:val="00F0799F"/>
    <w:rsid w:val="00F07D5B"/>
    <w:rsid w:val="00F07E94"/>
    <w:rsid w:val="00F10EB1"/>
    <w:rsid w:val="00F113D8"/>
    <w:rsid w:val="00F11D6B"/>
    <w:rsid w:val="00F13904"/>
    <w:rsid w:val="00F14DFE"/>
    <w:rsid w:val="00F14EFB"/>
    <w:rsid w:val="00F1504C"/>
    <w:rsid w:val="00F154B6"/>
    <w:rsid w:val="00F16D48"/>
    <w:rsid w:val="00F16F1F"/>
    <w:rsid w:val="00F21BEE"/>
    <w:rsid w:val="00F21D5F"/>
    <w:rsid w:val="00F233F2"/>
    <w:rsid w:val="00F24709"/>
    <w:rsid w:val="00F249FA"/>
    <w:rsid w:val="00F255B1"/>
    <w:rsid w:val="00F271D4"/>
    <w:rsid w:val="00F30618"/>
    <w:rsid w:val="00F307C7"/>
    <w:rsid w:val="00F30B25"/>
    <w:rsid w:val="00F311B2"/>
    <w:rsid w:val="00F31971"/>
    <w:rsid w:val="00F34C81"/>
    <w:rsid w:val="00F35433"/>
    <w:rsid w:val="00F35CDF"/>
    <w:rsid w:val="00F36B15"/>
    <w:rsid w:val="00F40507"/>
    <w:rsid w:val="00F4177F"/>
    <w:rsid w:val="00F4201C"/>
    <w:rsid w:val="00F421C4"/>
    <w:rsid w:val="00F42626"/>
    <w:rsid w:val="00F43E84"/>
    <w:rsid w:val="00F472C8"/>
    <w:rsid w:val="00F5141E"/>
    <w:rsid w:val="00F52766"/>
    <w:rsid w:val="00F534CA"/>
    <w:rsid w:val="00F5372F"/>
    <w:rsid w:val="00F561B5"/>
    <w:rsid w:val="00F576FD"/>
    <w:rsid w:val="00F604E2"/>
    <w:rsid w:val="00F60AD1"/>
    <w:rsid w:val="00F63FBA"/>
    <w:rsid w:val="00F65DB1"/>
    <w:rsid w:val="00F67CDE"/>
    <w:rsid w:val="00F700F8"/>
    <w:rsid w:val="00F71317"/>
    <w:rsid w:val="00F719AF"/>
    <w:rsid w:val="00F74283"/>
    <w:rsid w:val="00F75205"/>
    <w:rsid w:val="00F7687D"/>
    <w:rsid w:val="00F813A7"/>
    <w:rsid w:val="00F82EC6"/>
    <w:rsid w:val="00F84D0A"/>
    <w:rsid w:val="00F85CA9"/>
    <w:rsid w:val="00F86D54"/>
    <w:rsid w:val="00F92A63"/>
    <w:rsid w:val="00F932DF"/>
    <w:rsid w:val="00F93534"/>
    <w:rsid w:val="00F96D29"/>
    <w:rsid w:val="00FA121B"/>
    <w:rsid w:val="00FA30E0"/>
    <w:rsid w:val="00FA344D"/>
    <w:rsid w:val="00FA3606"/>
    <w:rsid w:val="00FA3733"/>
    <w:rsid w:val="00FA4C46"/>
    <w:rsid w:val="00FA594B"/>
    <w:rsid w:val="00FA617B"/>
    <w:rsid w:val="00FA6A3E"/>
    <w:rsid w:val="00FB00C5"/>
    <w:rsid w:val="00FB040E"/>
    <w:rsid w:val="00FB0B39"/>
    <w:rsid w:val="00FB0C04"/>
    <w:rsid w:val="00FB1668"/>
    <w:rsid w:val="00FB2780"/>
    <w:rsid w:val="00FB3AD4"/>
    <w:rsid w:val="00FB3CB1"/>
    <w:rsid w:val="00FB3D9D"/>
    <w:rsid w:val="00FB62F3"/>
    <w:rsid w:val="00FB6769"/>
    <w:rsid w:val="00FB68D2"/>
    <w:rsid w:val="00FB7783"/>
    <w:rsid w:val="00FC0959"/>
    <w:rsid w:val="00FC22CE"/>
    <w:rsid w:val="00FC28B8"/>
    <w:rsid w:val="00FC4F4F"/>
    <w:rsid w:val="00FD0015"/>
    <w:rsid w:val="00FD04F6"/>
    <w:rsid w:val="00FD1E83"/>
    <w:rsid w:val="00FD1F4B"/>
    <w:rsid w:val="00FD2283"/>
    <w:rsid w:val="00FD6233"/>
    <w:rsid w:val="00FD6AB4"/>
    <w:rsid w:val="00FD70B0"/>
    <w:rsid w:val="00FE226C"/>
    <w:rsid w:val="00FE22FF"/>
    <w:rsid w:val="00FE3EB2"/>
    <w:rsid w:val="00FE4CB3"/>
    <w:rsid w:val="00FE5BB4"/>
    <w:rsid w:val="00FE64C2"/>
    <w:rsid w:val="00FE6F30"/>
    <w:rsid w:val="00FE7D72"/>
    <w:rsid w:val="00FF0A46"/>
    <w:rsid w:val="00FF0EF3"/>
    <w:rsid w:val="00FF263E"/>
    <w:rsid w:val="00FF26DD"/>
    <w:rsid w:val="00FF301D"/>
    <w:rsid w:val="00FF395A"/>
    <w:rsid w:val="00FF3C4F"/>
    <w:rsid w:val="00FF3F59"/>
    <w:rsid w:val="00FF4E9A"/>
    <w:rsid w:val="00FF51F9"/>
    <w:rsid w:val="00FF6E7D"/>
    <w:rsid w:val="039C1E1B"/>
    <w:rsid w:val="05015D85"/>
    <w:rsid w:val="05F33DBA"/>
    <w:rsid w:val="06967539"/>
    <w:rsid w:val="0712740B"/>
    <w:rsid w:val="07523C7D"/>
    <w:rsid w:val="09275141"/>
    <w:rsid w:val="095837D1"/>
    <w:rsid w:val="0A460A82"/>
    <w:rsid w:val="0C06083B"/>
    <w:rsid w:val="0C3B1F34"/>
    <w:rsid w:val="0DD26F0B"/>
    <w:rsid w:val="0E4E4508"/>
    <w:rsid w:val="0F1D63EE"/>
    <w:rsid w:val="1347249E"/>
    <w:rsid w:val="145445EC"/>
    <w:rsid w:val="15420D23"/>
    <w:rsid w:val="165F6EE1"/>
    <w:rsid w:val="16702E05"/>
    <w:rsid w:val="19837778"/>
    <w:rsid w:val="1B1459B4"/>
    <w:rsid w:val="1BC05B5E"/>
    <w:rsid w:val="1E52416E"/>
    <w:rsid w:val="1EEF21A4"/>
    <w:rsid w:val="1F4E23DC"/>
    <w:rsid w:val="21153713"/>
    <w:rsid w:val="22286C0E"/>
    <w:rsid w:val="22F96DEE"/>
    <w:rsid w:val="23BA5A2C"/>
    <w:rsid w:val="23E5206A"/>
    <w:rsid w:val="23EC2A63"/>
    <w:rsid w:val="2407614C"/>
    <w:rsid w:val="24A76230"/>
    <w:rsid w:val="26BD5FF6"/>
    <w:rsid w:val="28FB507E"/>
    <w:rsid w:val="29AA2928"/>
    <w:rsid w:val="2A5966A9"/>
    <w:rsid w:val="2C783060"/>
    <w:rsid w:val="2D6128FB"/>
    <w:rsid w:val="2E542C14"/>
    <w:rsid w:val="2FF84291"/>
    <w:rsid w:val="326C67DD"/>
    <w:rsid w:val="334E0780"/>
    <w:rsid w:val="35AD351B"/>
    <w:rsid w:val="370E4139"/>
    <w:rsid w:val="3722422E"/>
    <w:rsid w:val="394C68E5"/>
    <w:rsid w:val="3B1B15A5"/>
    <w:rsid w:val="431A2A86"/>
    <w:rsid w:val="4578325D"/>
    <w:rsid w:val="45B94E50"/>
    <w:rsid w:val="477C08EA"/>
    <w:rsid w:val="49D676F0"/>
    <w:rsid w:val="4AEE7A31"/>
    <w:rsid w:val="4B2F2A48"/>
    <w:rsid w:val="4B400DAC"/>
    <w:rsid w:val="4C897F5B"/>
    <w:rsid w:val="4D880C38"/>
    <w:rsid w:val="51FC13E3"/>
    <w:rsid w:val="5463295C"/>
    <w:rsid w:val="567C43B0"/>
    <w:rsid w:val="578E08D5"/>
    <w:rsid w:val="5A435D04"/>
    <w:rsid w:val="5CF757A1"/>
    <w:rsid w:val="5E4E6D0B"/>
    <w:rsid w:val="61DC3B5A"/>
    <w:rsid w:val="63EC4DEA"/>
    <w:rsid w:val="665E4341"/>
    <w:rsid w:val="66C72380"/>
    <w:rsid w:val="67CC488E"/>
    <w:rsid w:val="681D48E0"/>
    <w:rsid w:val="6AC6295F"/>
    <w:rsid w:val="6D8B1C5E"/>
    <w:rsid w:val="6EF6513B"/>
    <w:rsid w:val="6F87409D"/>
    <w:rsid w:val="70122938"/>
    <w:rsid w:val="703D0BDA"/>
    <w:rsid w:val="706D12CD"/>
    <w:rsid w:val="71993857"/>
    <w:rsid w:val="749F3B7F"/>
    <w:rsid w:val="761D158A"/>
    <w:rsid w:val="78F4318A"/>
    <w:rsid w:val="7A567F6D"/>
    <w:rsid w:val="7CC963CA"/>
    <w:rsid w:val="7FF5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spacing w:before="120" w:after="120" w:line="400" w:lineRule="exact"/>
      <w:jc w:val="center"/>
      <w:outlineLvl w:val="0"/>
    </w:pPr>
    <w:rPr>
      <w:b/>
      <w:bCs/>
      <w:kern w:val="44"/>
      <w:sz w:val="32"/>
      <w:szCs w:val="44"/>
    </w:rPr>
  </w:style>
  <w:style w:type="paragraph" w:styleId="5">
    <w:name w:val="heading 2"/>
    <w:basedOn w:val="1"/>
    <w:next w:val="1"/>
    <w:link w:val="46"/>
    <w:qFormat/>
    <w:uiPriority w:val="0"/>
    <w:pPr>
      <w:spacing w:before="260" w:after="260" w:line="400" w:lineRule="exact"/>
      <w:jc w:val="center"/>
      <w:outlineLvl w:val="1"/>
    </w:pPr>
    <w:rPr>
      <w:rFonts w:ascii="Arial" w:hAnsi="Arial" w:eastAsia="黑体"/>
      <w:b/>
      <w:bCs/>
      <w:sz w:val="28"/>
      <w:szCs w:val="32"/>
    </w:rPr>
  </w:style>
  <w:style w:type="paragraph" w:styleId="6">
    <w:name w:val="heading 3"/>
    <w:basedOn w:val="1"/>
    <w:next w:val="1"/>
    <w:link w:val="58"/>
    <w:qFormat/>
    <w:uiPriority w:val="0"/>
    <w:pPr>
      <w:keepNext/>
      <w:keepLines/>
      <w:spacing w:before="260" w:after="260" w:line="416" w:lineRule="auto"/>
      <w:outlineLvl w:val="2"/>
    </w:pPr>
    <w:rPr>
      <w:b/>
      <w:bCs/>
      <w:kern w:val="0"/>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49"/>
    <w:qFormat/>
    <w:uiPriority w:val="0"/>
    <w:pPr>
      <w:ind w:firstLine="420" w:firstLineChars="200"/>
    </w:pPr>
    <w:rPr>
      <w:kern w:val="0"/>
      <w:sz w:val="20"/>
    </w:rPr>
  </w:style>
  <w:style w:type="paragraph" w:styleId="9">
    <w:name w:val="Document Map"/>
    <w:basedOn w:val="1"/>
    <w:link w:val="50"/>
    <w:qFormat/>
    <w:uiPriority w:val="0"/>
    <w:rPr>
      <w:rFonts w:ascii="宋体"/>
      <w:kern w:val="0"/>
      <w:sz w:val="18"/>
      <w:szCs w:val="18"/>
    </w:rPr>
  </w:style>
  <w:style w:type="paragraph" w:styleId="10">
    <w:name w:val="annotation text"/>
    <w:basedOn w:val="1"/>
    <w:link w:val="54"/>
    <w:qFormat/>
    <w:uiPriority w:val="0"/>
    <w:pPr>
      <w:jc w:val="left"/>
    </w:pPr>
    <w:rPr>
      <w:kern w:val="0"/>
      <w:sz w:val="20"/>
    </w:rPr>
  </w:style>
  <w:style w:type="paragraph" w:styleId="11">
    <w:name w:val="Body Text"/>
    <w:basedOn w:val="1"/>
    <w:link w:val="48"/>
    <w:qFormat/>
    <w:uiPriority w:val="0"/>
    <w:pPr>
      <w:spacing w:after="120"/>
    </w:pPr>
    <w:rPr>
      <w:kern w:val="0"/>
      <w:sz w:val="20"/>
    </w:rPr>
  </w:style>
  <w:style w:type="paragraph" w:styleId="12">
    <w:name w:val="Body Text Indent"/>
    <w:basedOn w:val="1"/>
    <w:link w:val="60"/>
    <w:qFormat/>
    <w:uiPriority w:val="0"/>
    <w:pPr>
      <w:ind w:firstLine="630"/>
    </w:pPr>
    <w:rPr>
      <w:kern w:val="0"/>
      <w:sz w:val="32"/>
      <w:szCs w:val="20"/>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style>
  <w:style w:type="paragraph" w:styleId="15">
    <w:name w:val="Plain Text"/>
    <w:basedOn w:val="1"/>
    <w:link w:val="59"/>
    <w:qFormat/>
    <w:uiPriority w:val="99"/>
    <w:pPr>
      <w:autoSpaceDE w:val="0"/>
      <w:autoSpaceDN w:val="0"/>
      <w:adjustRightInd w:val="0"/>
    </w:pPr>
    <w:rPr>
      <w:rFonts w:ascii="宋体" w:hAnsi="Courier New"/>
      <w:kern w:val="0"/>
      <w:sz w:val="20"/>
      <w:szCs w:val="21"/>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Date"/>
    <w:basedOn w:val="1"/>
    <w:next w:val="1"/>
    <w:link w:val="65"/>
    <w:unhideWhenUsed/>
    <w:qFormat/>
    <w:uiPriority w:val="99"/>
    <w:pPr>
      <w:ind w:left="100" w:leftChars="2500"/>
    </w:pPr>
  </w:style>
  <w:style w:type="paragraph" w:styleId="18">
    <w:name w:val="Body Text Indent 2"/>
    <w:basedOn w:val="1"/>
    <w:link w:val="56"/>
    <w:qFormat/>
    <w:uiPriority w:val="0"/>
    <w:pPr>
      <w:spacing w:after="120" w:line="480" w:lineRule="auto"/>
      <w:ind w:left="420" w:leftChars="200"/>
    </w:pPr>
    <w:rPr>
      <w:kern w:val="0"/>
      <w:sz w:val="20"/>
    </w:rPr>
  </w:style>
  <w:style w:type="paragraph" w:styleId="19">
    <w:name w:val="Balloon Text"/>
    <w:basedOn w:val="1"/>
    <w:link w:val="63"/>
    <w:qFormat/>
    <w:uiPriority w:val="0"/>
    <w:rPr>
      <w:kern w:val="0"/>
      <w:sz w:val="18"/>
      <w:szCs w:val="18"/>
    </w:rPr>
  </w:style>
  <w:style w:type="paragraph" w:styleId="20">
    <w:name w:val="footer"/>
    <w:basedOn w:val="1"/>
    <w:link w:val="64"/>
    <w:unhideWhenUsed/>
    <w:qFormat/>
    <w:uiPriority w:val="99"/>
    <w:pPr>
      <w:tabs>
        <w:tab w:val="center" w:pos="4153"/>
        <w:tab w:val="right" w:pos="8306"/>
      </w:tabs>
      <w:snapToGrid w:val="0"/>
      <w:jc w:val="left"/>
    </w:pPr>
    <w:rPr>
      <w:rFonts w:ascii="Calibri" w:hAnsi="Calibri"/>
      <w:kern w:val="0"/>
      <w:sz w:val="18"/>
      <w:szCs w:val="18"/>
    </w:rPr>
  </w:style>
  <w:style w:type="paragraph" w:styleId="21">
    <w:name w:val="header"/>
    <w:basedOn w:val="1"/>
    <w:link w:val="43"/>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2">
    <w:name w:val="toc 1"/>
    <w:basedOn w:val="1"/>
    <w:next w:val="1"/>
    <w:unhideWhenUsed/>
    <w:qFormat/>
    <w:uiPriority w:val="39"/>
    <w:pPr>
      <w:tabs>
        <w:tab w:val="right" w:leader="dot" w:pos="8949"/>
      </w:tabs>
      <w:spacing w:line="360" w:lineRule="auto"/>
      <w:jc w:val="left"/>
    </w:pPr>
    <w:rPr>
      <w:rFonts w:hAnsi="宋体" w:eastAsia="微软雅黑"/>
      <w:sz w:val="24"/>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link w:val="57"/>
    <w:qFormat/>
    <w:uiPriority w:val="0"/>
    <w:pPr>
      <w:spacing w:after="120"/>
      <w:ind w:left="420" w:leftChars="200"/>
    </w:pPr>
    <w:rPr>
      <w:kern w:val="0"/>
      <w:sz w:val="16"/>
      <w:szCs w:val="16"/>
    </w:rPr>
  </w:style>
  <w:style w:type="paragraph" w:styleId="26">
    <w:name w:val="toc 2"/>
    <w:basedOn w:val="1"/>
    <w:next w:val="1"/>
    <w:unhideWhenUsed/>
    <w:qFormat/>
    <w:uiPriority w:val="39"/>
    <w:pPr>
      <w:tabs>
        <w:tab w:val="right" w:leader="dot" w:pos="8949"/>
      </w:tabs>
      <w:ind w:left="420" w:leftChars="200"/>
    </w:pPr>
    <w:rPr>
      <w:rFonts w:ascii="宋体" w:hAnsi="宋体" w:cs="Arial"/>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9">
    <w:name w:val="Title"/>
    <w:basedOn w:val="1"/>
    <w:next w:val="1"/>
    <w:link w:val="44"/>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40"/>
    <w:qFormat/>
    <w:uiPriority w:val="0"/>
    <w:rPr>
      <w:b/>
      <w:bCs/>
    </w:rPr>
  </w:style>
  <w:style w:type="table" w:styleId="32">
    <w:name w:val="Table Grid"/>
    <w:basedOn w:val="3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semiHidden/>
    <w:unhideWhenUsed/>
    <w:qFormat/>
    <w:uiPriority w:val="99"/>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GW-正文 Char"/>
    <w:link w:val="39"/>
    <w:qFormat/>
    <w:uiPriority w:val="0"/>
    <w:rPr>
      <w:rFonts w:ascii="Times New Roman" w:hAnsi="Times New Roman" w:eastAsia="仿宋_GB2312" w:cs="Times New Roman"/>
      <w:sz w:val="24"/>
      <w:szCs w:val="24"/>
    </w:rPr>
  </w:style>
  <w:style w:type="paragraph" w:customStyle="1" w:styleId="39">
    <w:name w:val="GW-正文"/>
    <w:basedOn w:val="1"/>
    <w:link w:val="38"/>
    <w:qFormat/>
    <w:uiPriority w:val="0"/>
    <w:pPr>
      <w:spacing w:line="360" w:lineRule="auto"/>
      <w:ind w:firstLine="200" w:firstLineChars="200"/>
    </w:pPr>
    <w:rPr>
      <w:rFonts w:eastAsia="仿宋_GB2312"/>
      <w:kern w:val="0"/>
      <w:sz w:val="24"/>
    </w:rPr>
  </w:style>
  <w:style w:type="character" w:customStyle="1" w:styleId="40">
    <w:name w:val="批注主题 Char"/>
    <w:link w:val="30"/>
    <w:qFormat/>
    <w:uiPriority w:val="0"/>
    <w:rPr>
      <w:rFonts w:ascii="Times New Roman" w:hAnsi="Times New Roman" w:eastAsia="宋体" w:cs="Times New Roman"/>
      <w:b/>
      <w:bCs/>
      <w:szCs w:val="24"/>
    </w:rPr>
  </w:style>
  <w:style w:type="character" w:customStyle="1" w:styleId="41">
    <w:name w:val="font31"/>
    <w:qFormat/>
    <w:uiPriority w:val="0"/>
    <w:rPr>
      <w:rFonts w:hint="eastAsia" w:ascii="宋体" w:hAnsi="宋体" w:eastAsia="宋体" w:cs="宋体"/>
      <w:color w:val="000000"/>
      <w:sz w:val="21"/>
      <w:szCs w:val="21"/>
      <w:u w:val="none"/>
    </w:rPr>
  </w:style>
  <w:style w:type="character" w:customStyle="1" w:styleId="42">
    <w:name w:val="（符号）邀请函中一、"/>
    <w:qFormat/>
    <w:uiPriority w:val="0"/>
    <w:rPr>
      <w:rFonts w:ascii="黑体" w:hAnsi="黑体" w:eastAsia="黑体"/>
      <w:b/>
      <w:bCs/>
      <w:sz w:val="24"/>
    </w:rPr>
  </w:style>
  <w:style w:type="character" w:customStyle="1" w:styleId="43">
    <w:name w:val="页眉 Char"/>
    <w:link w:val="21"/>
    <w:qFormat/>
    <w:uiPriority w:val="0"/>
    <w:rPr>
      <w:sz w:val="18"/>
      <w:szCs w:val="18"/>
    </w:rPr>
  </w:style>
  <w:style w:type="character" w:customStyle="1" w:styleId="44">
    <w:name w:val="标题 Char"/>
    <w:link w:val="29"/>
    <w:qFormat/>
    <w:uiPriority w:val="10"/>
    <w:rPr>
      <w:rFonts w:ascii="Cambria" w:hAnsi="Cambria" w:eastAsia="宋体" w:cs="Times New Roman"/>
      <w:b/>
      <w:bCs/>
      <w:kern w:val="2"/>
      <w:sz w:val="32"/>
      <w:szCs w:val="32"/>
    </w:rPr>
  </w:style>
  <w:style w:type="character" w:customStyle="1" w:styleId="45">
    <w:name w:val="批注文字 Char"/>
    <w:qFormat/>
    <w:uiPriority w:val="0"/>
    <w:rPr>
      <w:sz w:val="18"/>
    </w:rPr>
  </w:style>
  <w:style w:type="character" w:customStyle="1" w:styleId="46">
    <w:name w:val="标题 2 Char"/>
    <w:link w:val="5"/>
    <w:qFormat/>
    <w:uiPriority w:val="0"/>
    <w:rPr>
      <w:rFonts w:ascii="Arial" w:hAnsi="Arial" w:eastAsia="黑体" w:cs="Times New Roman"/>
      <w:b/>
      <w:bCs/>
      <w:kern w:val="2"/>
      <w:sz w:val="28"/>
      <w:szCs w:val="32"/>
    </w:rPr>
  </w:style>
  <w:style w:type="character" w:customStyle="1" w:styleId="47">
    <w:name w:val="标题 1 Char"/>
    <w:link w:val="4"/>
    <w:qFormat/>
    <w:uiPriority w:val="0"/>
    <w:rPr>
      <w:rFonts w:ascii="Times New Roman" w:hAnsi="Times New Roman" w:eastAsia="宋体" w:cs="Times New Roman"/>
      <w:b/>
      <w:bCs/>
      <w:kern w:val="44"/>
      <w:sz w:val="32"/>
      <w:szCs w:val="44"/>
    </w:rPr>
  </w:style>
  <w:style w:type="character" w:customStyle="1" w:styleId="48">
    <w:name w:val="正文文本 Char"/>
    <w:link w:val="11"/>
    <w:qFormat/>
    <w:uiPriority w:val="0"/>
    <w:rPr>
      <w:rFonts w:ascii="Times New Roman" w:hAnsi="Times New Roman" w:eastAsia="宋体" w:cs="Times New Roman"/>
      <w:szCs w:val="24"/>
    </w:rPr>
  </w:style>
  <w:style w:type="character" w:customStyle="1" w:styleId="49">
    <w:name w:val="正文缩进 Char"/>
    <w:link w:val="8"/>
    <w:qFormat/>
    <w:uiPriority w:val="0"/>
    <w:rPr>
      <w:rFonts w:ascii="Times New Roman" w:hAnsi="Times New Roman" w:eastAsia="宋体" w:cs="Times New Roman"/>
      <w:szCs w:val="24"/>
    </w:rPr>
  </w:style>
  <w:style w:type="character" w:customStyle="1" w:styleId="50">
    <w:name w:val="文档结构图 Char"/>
    <w:link w:val="9"/>
    <w:qFormat/>
    <w:uiPriority w:val="0"/>
    <w:rPr>
      <w:rFonts w:ascii="宋体" w:hAnsi="Times New Roman" w:eastAsia="宋体" w:cs="Times New Roman"/>
      <w:sz w:val="18"/>
      <w:szCs w:val="18"/>
    </w:rPr>
  </w:style>
  <w:style w:type="character" w:customStyle="1" w:styleId="51">
    <w:name w:val="列出段落 Char"/>
    <w:link w:val="52"/>
    <w:qFormat/>
    <w:uiPriority w:val="0"/>
    <w:rPr>
      <w:rFonts w:ascii="Times New Roman" w:hAnsi="Times New Roman" w:eastAsia="宋体" w:cs="Times New Roman"/>
      <w:szCs w:val="24"/>
    </w:rPr>
  </w:style>
  <w:style w:type="paragraph" w:styleId="52">
    <w:name w:val="List Paragraph"/>
    <w:basedOn w:val="1"/>
    <w:link w:val="51"/>
    <w:qFormat/>
    <w:uiPriority w:val="0"/>
    <w:pPr>
      <w:ind w:firstLine="420" w:firstLineChars="200"/>
    </w:pPr>
    <w:rPr>
      <w:kern w:val="0"/>
      <w:sz w:val="20"/>
    </w:rPr>
  </w:style>
  <w:style w:type="character" w:customStyle="1" w:styleId="53">
    <w:name w:val="纯文本 Char"/>
    <w:unhideWhenUsed/>
    <w:qFormat/>
    <w:uiPriority w:val="99"/>
    <w:rPr>
      <w:rFonts w:ascii="宋体" w:hAnsi="Tms Rmn" w:eastAsia="宋体"/>
    </w:rPr>
  </w:style>
  <w:style w:type="character" w:customStyle="1" w:styleId="54">
    <w:name w:val="批注文字 Char1"/>
    <w:link w:val="10"/>
    <w:qFormat/>
    <w:uiPriority w:val="0"/>
    <w:rPr>
      <w:rFonts w:ascii="Times New Roman" w:hAnsi="Times New Roman" w:eastAsia="宋体" w:cs="Times New Roman"/>
      <w:szCs w:val="24"/>
    </w:rPr>
  </w:style>
  <w:style w:type="character" w:customStyle="1" w:styleId="55">
    <w:name w:val="Char Char9"/>
    <w:qFormat/>
    <w:uiPriority w:val="0"/>
    <w:rPr>
      <w:kern w:val="2"/>
      <w:sz w:val="21"/>
    </w:rPr>
  </w:style>
  <w:style w:type="character" w:customStyle="1" w:styleId="56">
    <w:name w:val="正文文本缩进 2 Char"/>
    <w:link w:val="18"/>
    <w:qFormat/>
    <w:uiPriority w:val="0"/>
    <w:rPr>
      <w:rFonts w:ascii="Times New Roman" w:hAnsi="Times New Roman" w:eastAsia="宋体" w:cs="Times New Roman"/>
      <w:szCs w:val="24"/>
    </w:rPr>
  </w:style>
  <w:style w:type="character" w:customStyle="1" w:styleId="57">
    <w:name w:val="正文文本缩进 3 Char"/>
    <w:link w:val="25"/>
    <w:qFormat/>
    <w:uiPriority w:val="0"/>
    <w:rPr>
      <w:rFonts w:ascii="Times New Roman" w:hAnsi="Times New Roman" w:eastAsia="宋体" w:cs="Times New Roman"/>
      <w:sz w:val="16"/>
      <w:szCs w:val="16"/>
    </w:rPr>
  </w:style>
  <w:style w:type="character" w:customStyle="1" w:styleId="58">
    <w:name w:val="标题 3 Char"/>
    <w:link w:val="6"/>
    <w:qFormat/>
    <w:uiPriority w:val="0"/>
    <w:rPr>
      <w:rFonts w:ascii="Times New Roman" w:hAnsi="Times New Roman" w:eastAsia="宋体" w:cs="Times New Roman"/>
      <w:b/>
      <w:bCs/>
      <w:sz w:val="32"/>
      <w:szCs w:val="32"/>
    </w:rPr>
  </w:style>
  <w:style w:type="character" w:customStyle="1" w:styleId="59">
    <w:name w:val="纯文本 Char1"/>
    <w:link w:val="15"/>
    <w:qFormat/>
    <w:uiPriority w:val="99"/>
    <w:rPr>
      <w:rFonts w:ascii="宋体" w:hAnsi="Courier New" w:eastAsia="宋体" w:cs="Courier New"/>
      <w:szCs w:val="21"/>
    </w:rPr>
  </w:style>
  <w:style w:type="character" w:customStyle="1" w:styleId="60">
    <w:name w:val="正文文本缩进 Char"/>
    <w:link w:val="12"/>
    <w:qFormat/>
    <w:uiPriority w:val="0"/>
    <w:rPr>
      <w:rFonts w:ascii="Times New Roman" w:hAnsi="Times New Roman" w:eastAsia="宋体" w:cs="Times New Roman"/>
      <w:sz w:val="32"/>
      <w:szCs w:val="20"/>
    </w:rPr>
  </w:style>
  <w:style w:type="character" w:customStyle="1" w:styleId="61">
    <w:name w:val="正文首行缩进两字符 Char Char"/>
    <w:link w:val="62"/>
    <w:qFormat/>
    <w:uiPriority w:val="0"/>
    <w:rPr>
      <w:rFonts w:ascii="Times New Roman" w:hAnsi="Times New Roman" w:eastAsia="宋体" w:cs="Times New Roman"/>
      <w:kern w:val="2"/>
      <w:sz w:val="21"/>
      <w:szCs w:val="24"/>
    </w:rPr>
  </w:style>
  <w:style w:type="paragraph" w:customStyle="1" w:styleId="62">
    <w:name w:val="正文首行缩进两字符"/>
    <w:basedOn w:val="1"/>
    <w:link w:val="61"/>
    <w:qFormat/>
    <w:uiPriority w:val="0"/>
    <w:pPr>
      <w:spacing w:line="360" w:lineRule="auto"/>
      <w:ind w:firstLine="200" w:firstLineChars="200"/>
    </w:pPr>
  </w:style>
  <w:style w:type="character" w:customStyle="1" w:styleId="63">
    <w:name w:val="批注框文本 Char"/>
    <w:link w:val="19"/>
    <w:qFormat/>
    <w:uiPriority w:val="0"/>
    <w:rPr>
      <w:rFonts w:ascii="Times New Roman" w:hAnsi="Times New Roman" w:eastAsia="宋体" w:cs="Times New Roman"/>
      <w:sz w:val="18"/>
      <w:szCs w:val="18"/>
    </w:rPr>
  </w:style>
  <w:style w:type="character" w:customStyle="1" w:styleId="64">
    <w:name w:val="页脚 Char"/>
    <w:link w:val="20"/>
    <w:qFormat/>
    <w:uiPriority w:val="99"/>
    <w:rPr>
      <w:sz w:val="18"/>
      <w:szCs w:val="18"/>
    </w:rPr>
  </w:style>
  <w:style w:type="character" w:customStyle="1" w:styleId="65">
    <w:name w:val="日期 Char"/>
    <w:link w:val="17"/>
    <w:semiHidden/>
    <w:qFormat/>
    <w:uiPriority w:val="99"/>
    <w:rPr>
      <w:rFonts w:ascii="Times New Roman" w:hAnsi="Times New Roman" w:eastAsia="宋体" w:cs="Times New Roman"/>
      <w:kern w:val="2"/>
      <w:sz w:val="21"/>
      <w:szCs w:val="24"/>
    </w:rPr>
  </w:style>
  <w:style w:type="paragraph" w:customStyle="1" w:styleId="66">
    <w:name w:val="Char Char Char Char Char Char Char Char Char Char Char Char Char Char1 Char Char Char Char"/>
    <w:basedOn w:val="1"/>
    <w:qFormat/>
    <w:uiPriority w:val="0"/>
    <w:rPr>
      <w:szCs w:val="21"/>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TOC 标题1"/>
    <w:basedOn w:val="4"/>
    <w:next w:val="1"/>
    <w:unhideWhenUsed/>
    <w:qFormat/>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69">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2">
    <w:name w:val="表格"/>
    <w:basedOn w:val="1"/>
    <w:qFormat/>
    <w:uiPriority w:val="0"/>
    <w:pPr>
      <w:spacing w:line="400" w:lineRule="exact"/>
    </w:pPr>
    <w:rPr>
      <w:sz w:val="24"/>
    </w:rPr>
  </w:style>
  <w:style w:type="paragraph" w:customStyle="1" w:styleId="7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fo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75">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6">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7">
    <w:name w:val="font8"/>
    <w:basedOn w:val="1"/>
    <w:qFormat/>
    <w:uiPriority w:val="0"/>
    <w:pPr>
      <w:widowControl/>
      <w:spacing w:before="100" w:beforeAutospacing="1" w:after="100" w:afterAutospacing="1"/>
      <w:jc w:val="left"/>
    </w:pPr>
    <w:rPr>
      <w:rFonts w:ascii="宋体" w:hAnsi="宋体" w:cs="宋体"/>
      <w:color w:val="000000"/>
      <w:kern w:val="0"/>
      <w:sz w:val="24"/>
      <w:u w:val="single"/>
    </w:rPr>
  </w:style>
  <w:style w:type="paragraph" w:customStyle="1" w:styleId="78">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9">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8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rPr>
  </w:style>
  <w:style w:type="paragraph" w:customStyle="1" w:styleId="81">
    <w:name w:val="xl6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b/>
      <w:bCs/>
      <w:kern w:val="0"/>
      <w:sz w:val="24"/>
    </w:rPr>
  </w:style>
  <w:style w:type="paragraph" w:customStyle="1" w:styleId="82">
    <w:name w:val="xl68"/>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黑体" w:hAnsi="黑体" w:eastAsia="黑体" w:cs="宋体"/>
      <w:b/>
      <w:bCs/>
      <w:kern w:val="0"/>
      <w:sz w:val="24"/>
    </w:rPr>
  </w:style>
  <w:style w:type="paragraph" w:customStyle="1" w:styleId="83">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rPr>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85">
    <w:name w:val="xl71"/>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86">
    <w:name w:val="xl72"/>
    <w:basedOn w:val="1"/>
    <w:qFormat/>
    <w:uiPriority w:val="0"/>
    <w:pPr>
      <w:widowControl/>
      <w:pBdr>
        <w:bottom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89">
    <w:name w:val="xl75"/>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90">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1">
    <w:name w:val="xl7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3">
    <w:name w:val="xl79"/>
    <w:basedOn w:val="1"/>
    <w:qFormat/>
    <w:uiPriority w:val="0"/>
    <w:pPr>
      <w:widowControl/>
      <w:spacing w:before="100" w:beforeAutospacing="1" w:after="100" w:afterAutospacing="1"/>
      <w:jc w:val="center"/>
      <w:textAlignment w:val="center"/>
    </w:pPr>
    <w:rPr>
      <w:rFonts w:ascii="仿宋" w:hAnsi="仿宋" w:eastAsia="仿宋" w:cs="宋体"/>
      <w:kern w:val="0"/>
      <w:sz w:val="44"/>
      <w:szCs w:val="44"/>
    </w:rPr>
  </w:style>
  <w:style w:type="paragraph" w:customStyle="1" w:styleId="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9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6">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97">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98">
    <w:name w:val="xl84"/>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9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5E5B51A-8CB9-4DEF-B0E4-B7288958CB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7388</Words>
  <Characters>7781</Characters>
  <Lines>711</Lines>
  <Paragraphs>765</Paragraphs>
  <TotalTime>35</TotalTime>
  <ScaleCrop>false</ScaleCrop>
  <LinksUpToDate>false</LinksUpToDate>
  <CharactersWithSpaces>7960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2019-06-05T09:14:00Z</dcterms:created>
  <dc:creator>刘春阳</dc:creator>
  <cp:lastModifiedBy>Lenovo</cp:lastModifiedBy>
  <cp:lastPrinted>2022-05-26T02:51:00Z</cp:lastPrinted>
  <dcterms:modified xsi:type="dcterms:W3CDTF">2022-05-31T09:23:02Z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D7EC49C4BBB246728FC667FB399CE56A</vt:lpwstr>
  </property>
</Properties>
</file>