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color w:val="auto"/>
          <w:kern w:val="0"/>
          <w:sz w:val="52"/>
          <w:szCs w:val="52"/>
          <w:lang w:val="en-US" w:eastAsia="zh-CN"/>
        </w:rPr>
      </w:pPr>
    </w:p>
    <w:p>
      <w:pPr>
        <w:widowControl/>
        <w:jc w:val="center"/>
        <w:rPr>
          <w:rFonts w:hint="eastAsia" w:ascii="方正小标宋简体" w:hAnsi="方正小标宋简体" w:eastAsia="方正小标宋简体" w:cs="方正小标宋简体"/>
          <w:color w:val="auto"/>
          <w:kern w:val="0"/>
          <w:sz w:val="52"/>
          <w:szCs w:val="52"/>
          <w:lang w:val="en-US" w:eastAsia="zh-CN"/>
        </w:rPr>
      </w:pPr>
      <w:r>
        <w:rPr>
          <w:rFonts w:hint="eastAsia" w:ascii="方正小标宋简体" w:hAnsi="方正小标宋简体" w:eastAsia="方正小标宋简体" w:cs="方正小标宋简体"/>
          <w:color w:val="auto"/>
          <w:kern w:val="0"/>
          <w:sz w:val="52"/>
          <w:szCs w:val="52"/>
          <w:lang w:val="en-US" w:eastAsia="zh-CN"/>
        </w:rPr>
        <w:t>公务用车租赁需求</w:t>
      </w:r>
    </w:p>
    <w:p>
      <w:pPr>
        <w:pStyle w:val="2"/>
        <w:rPr>
          <w:rFonts w:hint="default"/>
          <w:lang w:val="en-US" w:eastAsia="zh-CN"/>
        </w:rPr>
      </w:pPr>
    </w:p>
    <w:tbl>
      <w:tblPr>
        <w:tblStyle w:val="3"/>
        <w:tblW w:w="10350" w:type="dxa"/>
        <w:tblInd w:w="-599" w:type="dxa"/>
        <w:tblLayout w:type="fixed"/>
        <w:tblCellMar>
          <w:top w:w="0" w:type="dxa"/>
          <w:left w:w="108" w:type="dxa"/>
          <w:bottom w:w="0" w:type="dxa"/>
          <w:right w:w="108" w:type="dxa"/>
        </w:tblCellMar>
      </w:tblPr>
      <w:tblGrid>
        <w:gridCol w:w="820"/>
        <w:gridCol w:w="2840"/>
        <w:gridCol w:w="2290"/>
        <w:gridCol w:w="1640"/>
        <w:gridCol w:w="2760"/>
      </w:tblGrid>
      <w:tr>
        <w:tblPrEx>
          <w:tblCellMar>
            <w:top w:w="0" w:type="dxa"/>
            <w:left w:w="108" w:type="dxa"/>
            <w:bottom w:w="0" w:type="dxa"/>
            <w:right w:w="108" w:type="dxa"/>
          </w:tblCellMar>
        </w:tblPrEx>
        <w:trPr>
          <w:trHeight w:val="397"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284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车型</w:t>
            </w:r>
          </w:p>
        </w:tc>
        <w:tc>
          <w:tcPr>
            <w:tcW w:w="229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基本租车定额里程费用（元/天）</w:t>
            </w:r>
          </w:p>
        </w:tc>
        <w:tc>
          <w:tcPr>
            <w:tcW w:w="164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超小时收费</w:t>
            </w:r>
          </w:p>
          <w:p>
            <w:pPr>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（元/小时）</w:t>
            </w:r>
          </w:p>
        </w:tc>
        <w:tc>
          <w:tcPr>
            <w:tcW w:w="276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超里程收费               （元/公里）              （基础里程</w:t>
            </w:r>
            <w:r>
              <w:rPr>
                <w:rFonts w:hint="eastAsia" w:ascii="仿宋" w:hAnsi="仿宋" w:eastAsia="仿宋" w:cs="仿宋"/>
                <w:color w:val="auto"/>
                <w:kern w:val="0"/>
                <w:sz w:val="24"/>
                <w:szCs w:val="24"/>
                <w:lang w:val="en-US" w:eastAsia="zh-CN"/>
              </w:rPr>
              <w:t>300</w:t>
            </w:r>
            <w:r>
              <w:rPr>
                <w:rFonts w:hint="eastAsia" w:ascii="仿宋" w:hAnsi="仿宋" w:eastAsia="仿宋" w:cs="仿宋"/>
                <w:color w:val="auto"/>
                <w:kern w:val="0"/>
                <w:sz w:val="24"/>
                <w:szCs w:val="24"/>
              </w:rPr>
              <w:t>公里）</w:t>
            </w:r>
          </w:p>
        </w:tc>
      </w:tr>
      <w:tr>
        <w:tblPrEx>
          <w:tblCellMar>
            <w:top w:w="0" w:type="dxa"/>
            <w:left w:w="108" w:type="dxa"/>
            <w:bottom w:w="0" w:type="dxa"/>
            <w:right w:w="108" w:type="dxa"/>
          </w:tblCellMar>
        </w:tblPrEx>
        <w:trPr>
          <w:trHeight w:val="397"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284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大众</w:t>
            </w:r>
            <w:r>
              <w:rPr>
                <w:rFonts w:hint="eastAsia" w:ascii="仿宋" w:hAnsi="仿宋" w:eastAsia="仿宋" w:cs="仿宋"/>
                <w:color w:val="auto"/>
                <w:kern w:val="0"/>
                <w:sz w:val="24"/>
                <w:szCs w:val="24"/>
              </w:rPr>
              <w:t>捷达</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5座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或相等级别轿车</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（桑塔那、朗逸等）</w:t>
            </w:r>
          </w:p>
        </w:tc>
        <w:tc>
          <w:tcPr>
            <w:tcW w:w="229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164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27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r>
      <w:tr>
        <w:tblPrEx>
          <w:tblCellMar>
            <w:top w:w="0" w:type="dxa"/>
            <w:left w:w="108" w:type="dxa"/>
            <w:bottom w:w="0" w:type="dxa"/>
            <w:right w:w="108" w:type="dxa"/>
          </w:tblCellMar>
        </w:tblPrEx>
        <w:trPr>
          <w:trHeight w:val="397"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284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帕萨特</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5座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或相等级别轿车</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（迈腾、凯美瑞等）</w:t>
            </w:r>
          </w:p>
        </w:tc>
        <w:tc>
          <w:tcPr>
            <w:tcW w:w="229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164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rPr>
            </w:pPr>
          </w:p>
        </w:tc>
        <w:tc>
          <w:tcPr>
            <w:tcW w:w="27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eastAsia="zh-CN"/>
              </w:rPr>
            </w:pPr>
          </w:p>
        </w:tc>
      </w:tr>
      <w:tr>
        <w:tblPrEx>
          <w:tblCellMar>
            <w:top w:w="0" w:type="dxa"/>
            <w:left w:w="108" w:type="dxa"/>
            <w:bottom w:w="0" w:type="dxa"/>
            <w:right w:w="108" w:type="dxa"/>
          </w:tblCellMar>
        </w:tblPrEx>
        <w:trPr>
          <w:trHeight w:val="397"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284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别克GL8</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7座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或相等级别商务车</w:t>
            </w:r>
            <w:r>
              <w:rPr>
                <w:rFonts w:hint="eastAsia" w:ascii="仿宋" w:hAnsi="仿宋" w:eastAsia="仿宋" w:cs="仿宋"/>
                <w:color w:val="auto"/>
                <w:kern w:val="0"/>
                <w:sz w:val="24"/>
                <w:szCs w:val="24"/>
                <w:lang w:eastAsia="zh-CN"/>
              </w:rPr>
              <w:t>（奥德赛等）</w:t>
            </w:r>
          </w:p>
        </w:tc>
        <w:tc>
          <w:tcPr>
            <w:tcW w:w="229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164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rPr>
            </w:pPr>
          </w:p>
        </w:tc>
        <w:tc>
          <w:tcPr>
            <w:tcW w:w="27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eastAsia="zh-CN"/>
              </w:rPr>
            </w:pPr>
          </w:p>
        </w:tc>
      </w:tr>
      <w:tr>
        <w:tblPrEx>
          <w:tblCellMar>
            <w:top w:w="0" w:type="dxa"/>
            <w:left w:w="108" w:type="dxa"/>
            <w:bottom w:w="0" w:type="dxa"/>
            <w:right w:w="108" w:type="dxa"/>
          </w:tblCellMar>
        </w:tblPrEx>
        <w:trPr>
          <w:trHeight w:val="397"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284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瑞风</w:t>
            </w:r>
            <w:r>
              <w:rPr>
                <w:rFonts w:hint="eastAsia" w:ascii="仿宋" w:hAnsi="仿宋" w:eastAsia="仿宋" w:cs="仿宋"/>
                <w:color w:val="auto"/>
                <w:kern w:val="0"/>
                <w:sz w:val="24"/>
                <w:szCs w:val="24"/>
                <w:lang w:val="en-US" w:eastAsia="zh-CN"/>
              </w:rPr>
              <w:t>M5（7座）或相等级别的商务车</w:t>
            </w:r>
          </w:p>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（大通G10等）</w:t>
            </w:r>
          </w:p>
        </w:tc>
        <w:tc>
          <w:tcPr>
            <w:tcW w:w="229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164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27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r>
      <w:tr>
        <w:tblPrEx>
          <w:tblCellMar>
            <w:top w:w="0" w:type="dxa"/>
            <w:left w:w="108" w:type="dxa"/>
            <w:bottom w:w="0" w:type="dxa"/>
            <w:right w:w="108" w:type="dxa"/>
          </w:tblCellMar>
        </w:tblPrEx>
        <w:trPr>
          <w:trHeight w:val="397"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5</w:t>
            </w:r>
          </w:p>
        </w:tc>
        <w:tc>
          <w:tcPr>
            <w:tcW w:w="284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金杯阁瑞斯或相等级别客车</w:t>
            </w:r>
            <w:r>
              <w:rPr>
                <w:rFonts w:hint="eastAsia" w:ascii="仿宋" w:hAnsi="仿宋" w:eastAsia="仿宋" w:cs="仿宋"/>
                <w:color w:val="auto"/>
                <w:kern w:val="0"/>
                <w:sz w:val="24"/>
                <w:szCs w:val="24"/>
                <w:lang w:val="en-US" w:eastAsia="zh-CN"/>
              </w:rPr>
              <w:t xml:space="preserve">                            </w:t>
            </w:r>
          </w:p>
        </w:tc>
        <w:tc>
          <w:tcPr>
            <w:tcW w:w="229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164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rPr>
            </w:pPr>
          </w:p>
        </w:tc>
        <w:tc>
          <w:tcPr>
            <w:tcW w:w="27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w:t>
            </w:r>
          </w:p>
        </w:tc>
        <w:tc>
          <w:tcPr>
            <w:tcW w:w="284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丰田普拉多或相等级别越野车</w:t>
            </w:r>
          </w:p>
          <w:p>
            <w:pPr>
              <w:pStyle w:val="2"/>
              <w:jc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CN"/>
              </w:rPr>
              <w:t>（帕杰罗、汉兰达等）</w:t>
            </w:r>
          </w:p>
        </w:tc>
        <w:tc>
          <w:tcPr>
            <w:tcW w:w="229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164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rPr>
            </w:pPr>
          </w:p>
        </w:tc>
        <w:tc>
          <w:tcPr>
            <w:tcW w:w="276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7"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普通款考斯特（</w:t>
            </w:r>
            <w:r>
              <w:rPr>
                <w:rFonts w:hint="eastAsia" w:ascii="仿宋" w:hAnsi="仿宋" w:eastAsia="仿宋" w:cs="仿宋"/>
                <w:color w:val="auto"/>
                <w:kern w:val="0"/>
                <w:sz w:val="24"/>
                <w:szCs w:val="24"/>
                <w:lang w:val="en-US" w:eastAsia="zh-CN"/>
              </w:rPr>
              <w:t>17-22座</w:t>
            </w:r>
            <w:r>
              <w:rPr>
                <w:rFonts w:hint="eastAsia" w:ascii="仿宋" w:hAnsi="仿宋" w:eastAsia="仿宋" w:cs="仿宋"/>
                <w:color w:val="auto"/>
                <w:kern w:val="0"/>
                <w:sz w:val="24"/>
                <w:szCs w:val="24"/>
                <w:lang w:eastAsia="zh-CN"/>
              </w:rPr>
              <w:t>）或相等级别的客车</w:t>
            </w:r>
          </w:p>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（现代等）</w:t>
            </w:r>
          </w:p>
        </w:tc>
        <w:tc>
          <w:tcPr>
            <w:tcW w:w="2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2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r>
      <w:tr>
        <w:tblPrEx>
          <w:tblCellMar>
            <w:top w:w="0" w:type="dxa"/>
            <w:left w:w="108" w:type="dxa"/>
            <w:bottom w:w="0" w:type="dxa"/>
            <w:right w:w="108" w:type="dxa"/>
          </w:tblCellMar>
        </w:tblPrEx>
        <w:trPr>
          <w:trHeight w:val="397"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豪华版凯斯特（</w:t>
            </w:r>
            <w:r>
              <w:rPr>
                <w:rFonts w:hint="eastAsia" w:ascii="仿宋" w:hAnsi="仿宋" w:eastAsia="仿宋" w:cs="仿宋"/>
                <w:color w:val="auto"/>
                <w:kern w:val="0"/>
                <w:sz w:val="24"/>
                <w:szCs w:val="24"/>
                <w:lang w:val="en-US" w:eastAsia="zh-CN"/>
              </w:rPr>
              <w:t>17-22座</w:t>
            </w:r>
            <w:r>
              <w:rPr>
                <w:rFonts w:hint="eastAsia" w:ascii="仿宋" w:hAnsi="仿宋" w:eastAsia="仿宋" w:cs="仿宋"/>
                <w:color w:val="auto"/>
                <w:kern w:val="0"/>
                <w:sz w:val="24"/>
                <w:szCs w:val="24"/>
                <w:lang w:eastAsia="zh-CN"/>
              </w:rPr>
              <w:t>）或相等级别的客车</w:t>
            </w:r>
          </w:p>
        </w:tc>
        <w:tc>
          <w:tcPr>
            <w:tcW w:w="2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2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r>
      <w:tr>
        <w:tblPrEx>
          <w:tblCellMar>
            <w:top w:w="0" w:type="dxa"/>
            <w:left w:w="108" w:type="dxa"/>
            <w:bottom w:w="0" w:type="dxa"/>
            <w:right w:w="108" w:type="dxa"/>
          </w:tblCellMar>
        </w:tblPrEx>
        <w:trPr>
          <w:trHeight w:val="397"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金旅（</w:t>
            </w:r>
            <w:r>
              <w:rPr>
                <w:rFonts w:hint="eastAsia" w:ascii="仿宋" w:hAnsi="仿宋" w:eastAsia="仿宋" w:cs="仿宋"/>
                <w:color w:val="auto"/>
                <w:kern w:val="0"/>
                <w:sz w:val="24"/>
                <w:szCs w:val="24"/>
                <w:lang w:val="en-US" w:eastAsia="zh-CN"/>
              </w:rPr>
              <w:t>30-34座</w:t>
            </w:r>
            <w:r>
              <w:rPr>
                <w:rFonts w:hint="eastAsia" w:ascii="仿宋" w:hAnsi="仿宋" w:eastAsia="仿宋" w:cs="仿宋"/>
                <w:color w:val="auto"/>
                <w:kern w:val="0"/>
                <w:sz w:val="24"/>
                <w:szCs w:val="24"/>
                <w:lang w:eastAsia="zh-CN"/>
              </w:rPr>
              <w:t>）或相等级别的客车</w:t>
            </w:r>
          </w:p>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（宇通、金龙等）</w:t>
            </w:r>
          </w:p>
        </w:tc>
        <w:tc>
          <w:tcPr>
            <w:tcW w:w="2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2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r>
      <w:tr>
        <w:tblPrEx>
          <w:tblCellMar>
            <w:top w:w="0" w:type="dxa"/>
            <w:left w:w="108" w:type="dxa"/>
            <w:bottom w:w="0" w:type="dxa"/>
            <w:right w:w="108" w:type="dxa"/>
          </w:tblCellMar>
        </w:tblPrEx>
        <w:trPr>
          <w:trHeight w:val="397"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金旅（</w:t>
            </w:r>
            <w:r>
              <w:rPr>
                <w:rFonts w:hint="eastAsia" w:ascii="仿宋" w:hAnsi="仿宋" w:eastAsia="仿宋" w:cs="仿宋"/>
                <w:color w:val="auto"/>
                <w:kern w:val="0"/>
                <w:sz w:val="24"/>
                <w:szCs w:val="24"/>
                <w:lang w:val="en-US" w:eastAsia="zh-CN"/>
              </w:rPr>
              <w:t>35-39座</w:t>
            </w:r>
            <w:r>
              <w:rPr>
                <w:rFonts w:hint="eastAsia" w:ascii="仿宋" w:hAnsi="仿宋" w:eastAsia="仿宋" w:cs="仿宋"/>
                <w:color w:val="auto"/>
                <w:kern w:val="0"/>
                <w:sz w:val="24"/>
                <w:szCs w:val="24"/>
                <w:lang w:eastAsia="zh-CN"/>
              </w:rPr>
              <w:t>）或相等级别的客车</w:t>
            </w:r>
          </w:p>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（宇通、金龙等）</w:t>
            </w:r>
          </w:p>
        </w:tc>
        <w:tc>
          <w:tcPr>
            <w:tcW w:w="2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2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r>
      <w:tr>
        <w:tblPrEx>
          <w:tblCellMar>
            <w:top w:w="0" w:type="dxa"/>
            <w:left w:w="108" w:type="dxa"/>
            <w:bottom w:w="0" w:type="dxa"/>
            <w:right w:w="108" w:type="dxa"/>
          </w:tblCellMar>
        </w:tblPrEx>
        <w:trPr>
          <w:trHeight w:val="397"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11</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金旅（</w:t>
            </w:r>
            <w:r>
              <w:rPr>
                <w:rFonts w:hint="eastAsia" w:ascii="仿宋" w:hAnsi="仿宋" w:eastAsia="仿宋" w:cs="仿宋"/>
                <w:color w:val="auto"/>
                <w:kern w:val="0"/>
                <w:sz w:val="24"/>
                <w:szCs w:val="24"/>
                <w:lang w:val="en-US" w:eastAsia="zh-CN"/>
              </w:rPr>
              <w:t>40座以上</w:t>
            </w:r>
            <w:r>
              <w:rPr>
                <w:rFonts w:hint="eastAsia" w:ascii="仿宋" w:hAnsi="仿宋" w:eastAsia="仿宋" w:cs="仿宋"/>
                <w:color w:val="auto"/>
                <w:kern w:val="0"/>
                <w:sz w:val="24"/>
                <w:szCs w:val="24"/>
                <w:lang w:eastAsia="zh-CN"/>
              </w:rPr>
              <w:t>）或相等级别的客车</w:t>
            </w:r>
          </w:p>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（宇通、金龙等）</w:t>
            </w:r>
          </w:p>
        </w:tc>
        <w:tc>
          <w:tcPr>
            <w:tcW w:w="2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2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r>
      <w:tr>
        <w:tblPrEx>
          <w:tblCellMar>
            <w:top w:w="0" w:type="dxa"/>
            <w:left w:w="108" w:type="dxa"/>
            <w:bottom w:w="0" w:type="dxa"/>
            <w:right w:w="108" w:type="dxa"/>
          </w:tblCellMar>
        </w:tblPrEx>
        <w:trPr>
          <w:trHeight w:val="397"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小型货车（</w:t>
            </w:r>
            <w:r>
              <w:rPr>
                <w:rFonts w:hint="eastAsia" w:ascii="仿宋" w:hAnsi="仿宋" w:eastAsia="仿宋" w:cs="仿宋"/>
                <w:color w:val="auto"/>
                <w:kern w:val="0"/>
                <w:sz w:val="24"/>
                <w:szCs w:val="24"/>
                <w:lang w:val="en-US" w:eastAsia="zh-CN"/>
              </w:rPr>
              <w:t>2-6T</w:t>
            </w:r>
            <w:r>
              <w:rPr>
                <w:rFonts w:hint="eastAsia" w:ascii="仿宋" w:hAnsi="仿宋" w:eastAsia="仿宋" w:cs="仿宋"/>
                <w:color w:val="auto"/>
                <w:kern w:val="0"/>
                <w:sz w:val="24"/>
                <w:szCs w:val="24"/>
                <w:lang w:eastAsia="zh-CN"/>
              </w:rPr>
              <w:t>）</w:t>
            </w:r>
          </w:p>
        </w:tc>
        <w:tc>
          <w:tcPr>
            <w:tcW w:w="2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c>
          <w:tcPr>
            <w:tcW w:w="2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en-US" w:eastAsia="zh-CN"/>
        </w:rPr>
      </w:pPr>
      <w:bookmarkStart w:id="0" w:name="_Toc217446094"/>
      <w:r>
        <w:rPr>
          <w:rFonts w:hint="eastAsia" w:ascii="仿宋" w:hAnsi="仿宋" w:eastAsia="仿宋" w:cs="仿宋"/>
          <w:sz w:val="24"/>
          <w:szCs w:val="24"/>
        </w:rPr>
        <w:t>备注：</w:t>
      </w:r>
      <w:r>
        <w:rPr>
          <w:rFonts w:hint="eastAsia" w:ascii="仿宋" w:hAnsi="仿宋" w:eastAsia="仿宋" w:cs="仿宋"/>
          <w:sz w:val="24"/>
          <w:szCs w:val="24"/>
          <w:lang w:val="en-US" w:eastAsia="zh-CN"/>
        </w:rPr>
        <w:t>1.每天工作时间8小时以内，行程300公里以内。超公里数与超工作时间另行结算驾驶员工资及行程公里数（</w:t>
      </w:r>
      <w:r>
        <w:rPr>
          <w:rFonts w:hint="eastAsia" w:ascii="仿宋" w:hAnsi="仿宋" w:eastAsia="仿宋" w:cs="仿宋"/>
          <w:sz w:val="24"/>
          <w:szCs w:val="24"/>
        </w:rPr>
        <w:t>超出时间以小时计算，超出公里数以公里计算</w:t>
      </w:r>
      <w:r>
        <w:rPr>
          <w:rFonts w:hint="eastAsia" w:ascii="仿宋" w:hAnsi="仿宋" w:eastAsia="仿宋" w:cs="仿宋"/>
          <w:sz w:val="24"/>
          <w:szCs w:val="24"/>
          <w:lang w:val="en-US" w:eastAsia="zh-CN"/>
        </w:rPr>
        <w:t>）。此费用由驾驶员每月报给所在申请人公司，然后由申请人公司（需提供驾驶员详细的加班时间及时长）下月月初报给邀请申请人，经邀请申请人核实后，7个工作日内将费用转给申请人公司（以邀请申请人实际发放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提供的车辆不超过5年，且已行驶公里数不超过10万公里</w:t>
      </w:r>
      <w:r>
        <w:rPr>
          <w:rFonts w:hint="eastAsia" w:ascii="仿宋" w:hAnsi="仿宋" w:eastAsia="仿宋" w:cs="仿宋"/>
          <w:sz w:val="24"/>
          <w:szCs w:val="24"/>
          <w:lang w:eastAsia="zh-CN"/>
        </w:rPr>
        <w:t>。乘客险保额不低于</w:t>
      </w:r>
      <w:r>
        <w:rPr>
          <w:rFonts w:hint="eastAsia" w:ascii="仿宋" w:hAnsi="仿宋" w:eastAsia="仿宋" w:cs="仿宋"/>
          <w:sz w:val="24"/>
          <w:szCs w:val="24"/>
          <w:lang w:val="en-US" w:eastAsia="zh-CN"/>
        </w:rPr>
        <w:t>40万/人，</w:t>
      </w:r>
      <w:r>
        <w:rPr>
          <w:rFonts w:hint="eastAsia" w:ascii="仿宋" w:hAnsi="仿宋" w:eastAsia="仿宋" w:cs="仿宋"/>
          <w:sz w:val="24"/>
          <w:szCs w:val="24"/>
        </w:rPr>
        <w:t>第三责任险不低于</w:t>
      </w:r>
      <w:r>
        <w:rPr>
          <w:rFonts w:hint="eastAsia" w:ascii="仿宋" w:hAnsi="仿宋" w:eastAsia="仿宋" w:cs="仿宋"/>
          <w:sz w:val="24"/>
          <w:szCs w:val="24"/>
          <w:lang w:val="en-US" w:eastAsia="zh-CN"/>
        </w:rPr>
        <w:t>30</w:t>
      </w:r>
      <w:r>
        <w:rPr>
          <w:rFonts w:hint="eastAsia" w:ascii="仿宋" w:hAnsi="仿宋" w:eastAsia="仿宋" w:cs="仿宋"/>
          <w:sz w:val="24"/>
          <w:szCs w:val="24"/>
        </w:rPr>
        <w:t>万元，车辆发生保险事故时，</w:t>
      </w:r>
      <w:r>
        <w:rPr>
          <w:rFonts w:hint="eastAsia" w:ascii="仿宋" w:hAnsi="仿宋" w:eastAsia="仿宋" w:cs="仿宋"/>
          <w:sz w:val="24"/>
          <w:lang w:eastAsia="zh-CN"/>
        </w:rPr>
        <w:t>申请人</w:t>
      </w:r>
      <w:r>
        <w:rPr>
          <w:rFonts w:hint="eastAsia" w:ascii="仿宋" w:hAnsi="仿宋" w:eastAsia="仿宋" w:cs="仿宋"/>
          <w:sz w:val="24"/>
          <w:szCs w:val="24"/>
        </w:rPr>
        <w:t>负责索赔事宜，并承担相应法律责任。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lang w:eastAsia="zh-CN"/>
        </w:rPr>
        <w:t>申请人</w:t>
      </w:r>
      <w:r>
        <w:rPr>
          <w:rFonts w:hint="eastAsia" w:ascii="仿宋" w:hAnsi="仿宋" w:eastAsia="仿宋" w:cs="仿宋"/>
          <w:sz w:val="24"/>
          <w:szCs w:val="24"/>
        </w:rPr>
        <w:t>根据</w:t>
      </w:r>
      <w:r>
        <w:rPr>
          <w:rFonts w:hint="eastAsia" w:ascii="仿宋" w:hAnsi="仿宋" w:eastAsia="仿宋" w:cs="仿宋"/>
          <w:sz w:val="24"/>
          <w:szCs w:val="24"/>
          <w:lang w:eastAsia="zh-CN"/>
        </w:rPr>
        <w:t>比选邀请人</w:t>
      </w:r>
      <w:r>
        <w:rPr>
          <w:rFonts w:hint="eastAsia" w:ascii="仿宋" w:hAnsi="仿宋" w:eastAsia="仿宋" w:cs="仿宋"/>
          <w:sz w:val="24"/>
          <w:szCs w:val="24"/>
        </w:rPr>
        <w:t>的工作需求提供相应车型车辆，配备专职驾驶人员。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4.租车费报价包含车辆折旧、保险、维修、保养、救援、燃油费、开票税金和驾驶员劳务等费用，即包干价。但不包含过路过桥费、泊车费费用。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5.驾驶员餐费、住宿费用、过路过桥费、泊车费、洗车费费用按照实际情况实报实销。</w:t>
      </w:r>
      <w:bookmarkEnd w:id="0"/>
      <w:r>
        <w:rPr>
          <w:rFonts w:hint="eastAsia" w:ascii="仿宋" w:hAnsi="仿宋" w:eastAsia="仿宋" w:cs="仿宋"/>
          <w:sz w:val="24"/>
          <w:szCs w:val="24"/>
          <w:lang w:val="en-US" w:eastAsia="zh-CN"/>
        </w:rPr>
        <w:t>由申请人公司统一收取驾驶员报销费用清单及发票于每月交与比选邀请人，经比选邀请人财务人员审计核实后，</w:t>
      </w:r>
      <w:r>
        <w:rPr>
          <w:rFonts w:hint="eastAsia" w:ascii="仿宋" w:hAnsi="仿宋" w:eastAsia="仿宋" w:cs="仿宋"/>
          <w:sz w:val="24"/>
          <w:szCs w:val="24"/>
          <w:lang w:val="en-US" w:eastAsia="zh-CN"/>
        </w:rPr>
        <w:t>7个工作日之内将报销费用发给申请人公司（以邀请申请人实际发放为准）。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ED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14544</dc:creator>
  <cp:lastModifiedBy>14544</cp:lastModifiedBy>
  <dcterms:modified xsi:type="dcterms:W3CDTF">2021-06-03T01:41:38Z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1EC044EF581D41A6B423620EDC7DC24E</vt:lpwstr>
  </property>
</Properties>
</file>